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after="0" w:before="0"/>
        <w:jc w:val="center"/>
      </w:pPr>
      <w:r>
        <w:rPr>
          <w:rFonts w:ascii="Arial" w:hAnsi="Arial" w:eastAsia="Arial"/>
          <w:b/>
          <w:sz w:val="22"/>
        </w:rPr>
        <w:t>2ª Fase do Concurso MPMT - Enunciado, Modelo de Resposta e Espelho Analítico</w:t>
      </w:r>
    </w:p>
    <w:p>
      <w:pPr>
        <w:spacing w:line="240" w:lineRule="auto" w:after="0" w:before="0"/>
        <w:jc w:val="center"/>
      </w:pPr>
      <w:r>
        <w:rPr>
          <w:rFonts w:ascii="Arial" w:hAnsi="Arial" w:eastAsia="Arial"/>
          <w:b w:val="0"/>
          <w:sz w:val="22"/>
        </w:rPr>
        <w:t>Documento elaborado em fonte Arial 11, espaçamento simples e formatação básica.</w:t>
      </w:r>
    </w:p>
    <w:p>
      <w:pPr>
        <w:spacing w:line="240" w:lineRule="auto" w:after="0" w:before="0"/>
      </w:pPr>
      <w:r>
        <w:rPr>
          <w:rFonts w:ascii="Arial" w:hAnsi="Arial" w:eastAsia="Arial"/>
          <w:b w:val="0"/>
          <w:sz w:val="22"/>
        </w:rPr>
      </w:r>
    </w:p>
    <w:p>
      <w:pPr>
        <w:spacing w:line="240" w:lineRule="auto" w:after="0" w:before="0"/>
      </w:pPr>
      <w:r>
        <w:rPr>
          <w:rFonts w:ascii="Arial" w:hAnsi="Arial" w:eastAsia="Arial"/>
          <w:b/>
          <w:sz w:val="22"/>
        </w:rPr>
        <w:t>1. ENUNCIADO</w:t>
      </w:r>
    </w:p>
    <w:p>
      <w:pPr>
        <w:spacing w:line="240" w:lineRule="auto" w:after="0" w:before="0"/>
      </w:pPr>
      <w:r>
        <w:rPr>
          <w:rFonts w:ascii="Arial" w:hAnsi="Arial" w:eastAsia="Arial"/>
          <w:b w:val="0"/>
          <w:sz w:val="22"/>
        </w:rPr>
        <w:t>Com base no Edital nº 01/2026 do MPMT, elabore resposta completa sobre a segunda fase do XXXIX Concurso de Promotor de Justiça Substituto, especificamente quanto às Provas Discursivas. Aborde a natureza da etapa, quem é convocado, a correspondência entre provas e grupos de matérias, a estrutura interna de cada prova, o cálculo da nota, os critérios de aprovação e eliminação, os parâmetros de correção, as hipóteses de nota zero, as regras da folha de textos definitivos, o material de consulta permitido e proibido, as regras de aplicação e permanência, os objetos e condutas vedadas, as regras sobre alimentação, o atendimento às candidatas lactantes, os resultados e recursos, o peso da etapa na nota final do concurso e o cronograma estimado.</w:t>
      </w:r>
    </w:p>
    <w:p>
      <w:pPr>
        <w:spacing w:line="240" w:lineRule="auto" w:after="0" w:before="0"/>
      </w:pPr>
      <w:r>
        <w:rPr>
          <w:rFonts w:ascii="Arial" w:hAnsi="Arial" w:eastAsia="Arial"/>
          <w:b w:val="0"/>
          <w:sz w:val="22"/>
        </w:rPr>
      </w:r>
    </w:p>
    <w:p>
      <w:pPr>
        <w:spacing w:line="240" w:lineRule="auto" w:after="0" w:before="0"/>
      </w:pPr>
      <w:r>
        <w:rPr>
          <w:rFonts w:ascii="Arial" w:hAnsi="Arial" w:eastAsia="Arial"/>
          <w:b/>
          <w:sz w:val="22"/>
        </w:rPr>
        <w:t>2. MODELO DE RESPOSTA</w:t>
      </w:r>
    </w:p>
    <w:p>
      <w:pPr>
        <w:spacing w:line="240" w:lineRule="auto" w:after="0" w:before="0"/>
      </w:pPr>
      <w:r>
        <w:rPr>
          <w:rFonts w:ascii="Arial" w:hAnsi="Arial" w:eastAsia="Arial"/>
          <w:b/>
          <w:sz w:val="22"/>
        </w:rPr>
        <w:t>2.1. Visão geral da etapa</w:t>
      </w:r>
    </w:p>
    <w:p>
      <w:pPr>
        <w:spacing w:line="240" w:lineRule="auto" w:after="0" w:before="0"/>
      </w:pPr>
      <w:r>
        <w:rPr>
          <w:rFonts w:ascii="Arial" w:hAnsi="Arial" w:eastAsia="Arial"/>
          <w:b w:val="0"/>
          <w:sz w:val="22"/>
        </w:rPr>
        <w:t>As Provas Discursivas compõem a segunda fase do concurso, possuindo caráter eliminatório e classificatório. A etapa é formada por quatro provas individuais, denominadas P1, P2, P3 e P4, distribuídas em dois dias consecutivos, nos turnos da manhã e da tarde. Cada prova vale 10,0 pontos e tem duração de 4 horas. As datas prováveis de aplicação são 16 e 17 de agosto de 2026, preferencialmente em Cuiabá/MT, cabendo a edital complementar a definição dos horários de cada turno e eventual alteração do cronograma.</w:t>
      </w:r>
    </w:p>
    <w:p>
      <w:pPr>
        <w:spacing w:line="240" w:lineRule="auto" w:after="0" w:before="0"/>
      </w:pPr>
      <w:r>
        <w:rPr>
          <w:rFonts w:ascii="Arial" w:hAnsi="Arial" w:eastAsia="Arial"/>
          <w:b/>
          <w:sz w:val="22"/>
        </w:rPr>
        <w:t>2.2. Convocação para a fase</w:t>
      </w:r>
    </w:p>
    <w:p>
      <w:pPr>
        <w:spacing w:line="240" w:lineRule="auto" w:after="0" w:before="0"/>
      </w:pPr>
      <w:r>
        <w:rPr>
          <w:rFonts w:ascii="Arial" w:hAnsi="Arial" w:eastAsia="Arial"/>
          <w:b w:val="0"/>
          <w:sz w:val="22"/>
        </w:rPr>
        <w:t>Somente serão convocados os candidatos habilitados na Prova Preambular Objetiva que estiverem entre os 80 primeiros colocados, incluídos os empatados na última posição. A distribuição prevista em edital observa as listas de ampla concorrência, candidatos negros e pessoas com deficiência.</w:t>
      </w:r>
    </w:p>
    <w:tbl>
      <w:tblPr>
        <w:tblStyle w:val="TableGrid"/>
        <w:tblW w:type="auto" w:w="0"/>
        <w:jc w:val="center"/>
        <w:tblLook w:firstColumn="1" w:firstRow="1" w:lastColumn="0" w:lastRow="0" w:noHBand="0" w:noVBand="1" w:val="04A0"/>
      </w:tblPr>
      <w:tblGrid>
        <w:gridCol w:w="4536"/>
        <w:gridCol w:w="4536"/>
      </w:tblGrid>
      <w:tr>
        <w:tc>
          <w:tcPr>
            <w:tcW w:type="dxa" w:w="6236"/>
            <w:vAlign w:val="center"/>
          </w:tcPr>
          <w:p>
            <w:pPr>
              <w:spacing w:line="240" w:lineRule="auto" w:after="0" w:before="0"/>
            </w:pPr>
            <w:r/>
            <w:r>
              <w:rPr>
                <w:rFonts w:ascii="Arial" w:hAnsi="Arial" w:eastAsia="Arial"/>
                <w:b/>
                <w:sz w:val="22"/>
              </w:rPr>
              <w:t>Lista</w:t>
            </w:r>
          </w:p>
        </w:tc>
        <w:tc>
          <w:tcPr>
            <w:tcW w:type="dxa" w:w="2835"/>
            <w:vAlign w:val="center"/>
          </w:tcPr>
          <w:p>
            <w:pPr>
              <w:spacing w:line="240" w:lineRule="auto" w:after="0" w:before="0"/>
            </w:pPr>
            <w:r/>
            <w:r>
              <w:rPr>
                <w:rFonts w:ascii="Arial" w:hAnsi="Arial" w:eastAsia="Arial"/>
                <w:b/>
                <w:sz w:val="22"/>
              </w:rPr>
              <w:t>Convocações</w:t>
            </w:r>
          </w:p>
        </w:tc>
      </w:tr>
      <w:tr>
        <w:tc>
          <w:tcPr>
            <w:tcW w:type="dxa" w:w="6236"/>
            <w:vAlign w:val="center"/>
          </w:tcPr>
          <w:p>
            <w:pPr>
              <w:spacing w:line="240" w:lineRule="auto" w:after="0" w:before="0"/>
            </w:pPr>
            <w:r/>
            <w:r>
              <w:rPr>
                <w:rFonts w:ascii="Arial" w:hAnsi="Arial" w:eastAsia="Arial"/>
                <w:b w:val="0"/>
                <w:sz w:val="22"/>
              </w:rPr>
              <w:t>Ampla concorrência</w:t>
            </w:r>
          </w:p>
        </w:tc>
        <w:tc>
          <w:tcPr>
            <w:tcW w:type="dxa" w:w="2835"/>
            <w:vAlign w:val="center"/>
          </w:tcPr>
          <w:p>
            <w:pPr>
              <w:spacing w:line="240" w:lineRule="auto" w:after="0" w:before="0"/>
            </w:pPr>
            <w:r/>
            <w:r>
              <w:rPr>
                <w:rFonts w:ascii="Arial" w:hAnsi="Arial" w:eastAsia="Arial"/>
                <w:b w:val="0"/>
                <w:sz w:val="22"/>
              </w:rPr>
              <w:t>56</w:t>
            </w:r>
          </w:p>
        </w:tc>
      </w:tr>
      <w:tr>
        <w:tc>
          <w:tcPr>
            <w:tcW w:type="dxa" w:w="6236"/>
            <w:vAlign w:val="center"/>
          </w:tcPr>
          <w:p>
            <w:pPr>
              <w:spacing w:line="240" w:lineRule="auto" w:after="0" w:before="0"/>
            </w:pPr>
            <w:r/>
            <w:r>
              <w:rPr>
                <w:rFonts w:ascii="Arial" w:hAnsi="Arial" w:eastAsia="Arial"/>
                <w:b w:val="0"/>
                <w:sz w:val="22"/>
              </w:rPr>
              <w:t>Candidatos negros</w:t>
            </w:r>
          </w:p>
        </w:tc>
        <w:tc>
          <w:tcPr>
            <w:tcW w:type="dxa" w:w="2835"/>
            <w:vAlign w:val="center"/>
          </w:tcPr>
          <w:p>
            <w:pPr>
              <w:spacing w:line="240" w:lineRule="auto" w:after="0" w:before="0"/>
            </w:pPr>
            <w:r/>
            <w:r>
              <w:rPr>
                <w:rFonts w:ascii="Arial" w:hAnsi="Arial" w:eastAsia="Arial"/>
                <w:b w:val="0"/>
                <w:sz w:val="22"/>
              </w:rPr>
              <w:t>16</w:t>
            </w:r>
          </w:p>
        </w:tc>
      </w:tr>
      <w:tr>
        <w:tc>
          <w:tcPr>
            <w:tcW w:type="dxa" w:w="6236"/>
            <w:vAlign w:val="center"/>
          </w:tcPr>
          <w:p>
            <w:pPr>
              <w:spacing w:line="240" w:lineRule="auto" w:after="0" w:before="0"/>
            </w:pPr>
            <w:r/>
            <w:r>
              <w:rPr>
                <w:rFonts w:ascii="Arial" w:hAnsi="Arial" w:eastAsia="Arial"/>
                <w:b w:val="0"/>
                <w:sz w:val="22"/>
              </w:rPr>
              <w:t>Pessoas com deficiência (PcD)</w:t>
            </w:r>
          </w:p>
        </w:tc>
        <w:tc>
          <w:tcPr>
            <w:tcW w:type="dxa" w:w="2835"/>
            <w:vAlign w:val="center"/>
          </w:tcPr>
          <w:p>
            <w:pPr>
              <w:spacing w:line="240" w:lineRule="auto" w:after="0" w:before="0"/>
            </w:pPr>
            <w:r/>
            <w:r>
              <w:rPr>
                <w:rFonts w:ascii="Arial" w:hAnsi="Arial" w:eastAsia="Arial"/>
                <w:b w:val="0"/>
                <w:sz w:val="22"/>
              </w:rPr>
              <w:t>8</w:t>
            </w:r>
          </w:p>
        </w:tc>
      </w:tr>
      <w:tr>
        <w:tc>
          <w:tcPr>
            <w:tcW w:type="dxa" w:w="6236"/>
            <w:vAlign w:val="center"/>
          </w:tcPr>
          <w:p>
            <w:pPr>
              <w:spacing w:line="240" w:lineRule="auto" w:after="0" w:before="0"/>
            </w:pPr>
            <w:r/>
            <w:r>
              <w:rPr>
                <w:rFonts w:ascii="Arial" w:hAnsi="Arial" w:eastAsia="Arial"/>
                <w:b w:val="0"/>
                <w:sz w:val="22"/>
              </w:rPr>
              <w:t>Total</w:t>
            </w:r>
          </w:p>
        </w:tc>
        <w:tc>
          <w:tcPr>
            <w:tcW w:type="dxa" w:w="2835"/>
            <w:vAlign w:val="center"/>
          </w:tcPr>
          <w:p>
            <w:pPr>
              <w:spacing w:line="240" w:lineRule="auto" w:after="0" w:before="0"/>
            </w:pPr>
            <w:r/>
            <w:r>
              <w:rPr>
                <w:rFonts w:ascii="Arial" w:hAnsi="Arial" w:eastAsia="Arial"/>
                <w:b w:val="0"/>
                <w:sz w:val="22"/>
              </w:rPr>
              <w:t>80</w:t>
            </w:r>
          </w:p>
        </w:tc>
      </w:tr>
    </w:tbl>
    <w:p>
      <w:pPr>
        <w:spacing w:line="240" w:lineRule="auto" w:after="0" w:before="0"/>
      </w:pPr>
    </w:p>
    <w:p>
      <w:pPr>
        <w:spacing w:line="240" w:lineRule="auto" w:after="0" w:before="0"/>
      </w:pPr>
      <w:r>
        <w:rPr>
          <w:rFonts w:ascii="Arial" w:hAnsi="Arial" w:eastAsia="Arial"/>
          <w:b w:val="0"/>
          <w:sz w:val="22"/>
        </w:rPr>
        <w:t>Os candidatos negros e PcD aprovados dentro do número destinado à ampla concorrência não ocupam vaga das listas reservadas, hipótese em que haverá convocação adicional para recomposição. Se não houver candidatos negros ou PcD em número suficiente, a diferença será revertida para a ampla concorrência. O candidato não convocado fica automaticamente eliminado, sem classificação no certame.</w:t>
      </w:r>
    </w:p>
    <w:p>
      <w:pPr>
        <w:spacing w:line="240" w:lineRule="auto" w:after="0" w:before="0"/>
      </w:pPr>
      <w:r>
        <w:rPr>
          <w:rFonts w:ascii="Arial" w:hAnsi="Arial" w:eastAsia="Arial"/>
          <w:b/>
          <w:sz w:val="22"/>
        </w:rPr>
        <w:t>2.3. Correspondência entre provas e grupos de matérias</w:t>
      </w:r>
    </w:p>
    <w:p>
      <w:pPr>
        <w:spacing w:line="240" w:lineRule="auto" w:after="0" w:before="0"/>
      </w:pPr>
      <w:r>
        <w:rPr>
          <w:rFonts w:ascii="Arial" w:hAnsi="Arial" w:eastAsia="Arial"/>
          <w:b w:val="0"/>
          <w:sz w:val="22"/>
        </w:rPr>
        <w:t>Cada prova discursiva corresponde a um dos quatro grupos de matérias previstos no edital: P1 - Direito Constitucional, Direitos Humanos, Direito Administrativo e Direito Eleitoral; P2 - Direito Civil e Direito Empresarial, Direito Processual Civil e Direito da Infância e da Juventude; P3 - Direito Penal e Direito Processual Penal; e P4 - Tutela Coletiva, Teoria Geral do Ministério Público e Legislação Institucional. As questões são elaboradas a partir do conteúdo programático do Anexo I, podendo abranger alterações legislativas supervenientes à publicação do edital.</w:t>
      </w:r>
    </w:p>
    <w:p>
      <w:pPr>
        <w:spacing w:line="240" w:lineRule="auto" w:after="0" w:before="0"/>
      </w:pPr>
      <w:r>
        <w:rPr>
          <w:rFonts w:ascii="Arial" w:hAnsi="Arial" w:eastAsia="Arial"/>
          <w:b/>
          <w:sz w:val="22"/>
        </w:rPr>
        <w:t>2.4. Estrutura interna de cada prova</w:t>
      </w:r>
    </w:p>
    <w:p>
      <w:pPr>
        <w:spacing w:line="240" w:lineRule="auto" w:after="0" w:before="0"/>
      </w:pPr>
      <w:r>
        <w:rPr>
          <w:rFonts w:ascii="Arial" w:hAnsi="Arial" w:eastAsia="Arial"/>
          <w:b w:val="0"/>
          <w:sz w:val="22"/>
        </w:rPr>
        <w:t>Cada uma das quatro provas possui duas partes, totalizando 10,0 pontos. A primeira parte consiste em peça prático-profissional de até 40 linhas, valendo 4,0 pontos. O comando pode exigir: ato de deflagração de ação civil ou penal; parecer, recurso ou outra peça aplicável a processo judicial ou procedimento extrajudicial; ou estudo de caso/dissertação sobre institutos jurídicos correlatos a uma ou mais disciplinas do mesmo grupo. O que exceder o limite de linhas não será considerado.</w:t>
      </w:r>
    </w:p>
    <w:p>
      <w:pPr>
        <w:spacing w:line="240" w:lineRule="auto" w:after="0" w:before="0"/>
      </w:pPr>
      <w:r>
        <w:rPr>
          <w:rFonts w:ascii="Arial" w:hAnsi="Arial" w:eastAsia="Arial"/>
          <w:b w:val="0"/>
          <w:sz w:val="22"/>
        </w:rPr>
        <w:t>A segunda parte é composta por três questões discursivas, cada uma com limite de até 20 linhas e valor de 2,0 pontos, distribuídas entre as disciplinas do grupo correspondente.</w:t>
      </w:r>
    </w:p>
    <w:tbl>
      <w:tblPr>
        <w:tblStyle w:val="TableGrid"/>
        <w:tblW w:type="auto" w:w="0"/>
        <w:jc w:val="center"/>
        <w:tblLook w:firstColumn="1" w:firstRow="1" w:lastColumn="0" w:lastRow="0" w:noHBand="0" w:noVBand="1" w:val="04A0"/>
      </w:tblPr>
      <w:tblGrid>
        <w:gridCol w:w="3024"/>
        <w:gridCol w:w="3024"/>
        <w:gridCol w:w="3024"/>
      </w:tblGrid>
      <w:tr>
        <w:tc>
          <w:tcPr>
            <w:tcW w:type="dxa" w:w="4819"/>
            <w:vAlign w:val="center"/>
          </w:tcPr>
          <w:p>
            <w:pPr>
              <w:spacing w:line="240" w:lineRule="auto" w:after="0" w:before="0"/>
            </w:pPr>
            <w:r/>
            <w:r>
              <w:rPr>
                <w:rFonts w:ascii="Arial" w:hAnsi="Arial" w:eastAsia="Arial"/>
                <w:b/>
                <w:sz w:val="22"/>
              </w:rPr>
              <w:t>Componente</w:t>
            </w:r>
          </w:p>
        </w:tc>
        <w:tc>
          <w:tcPr>
            <w:tcW w:type="dxa" w:w="2551"/>
            <w:vAlign w:val="center"/>
          </w:tcPr>
          <w:p>
            <w:pPr>
              <w:spacing w:line="240" w:lineRule="auto" w:after="0" w:before="0"/>
            </w:pPr>
            <w:r/>
            <w:r>
              <w:rPr>
                <w:rFonts w:ascii="Arial" w:hAnsi="Arial" w:eastAsia="Arial"/>
                <w:b/>
                <w:sz w:val="22"/>
              </w:rPr>
              <w:t>Limite</w:t>
            </w:r>
          </w:p>
        </w:tc>
        <w:tc>
          <w:tcPr>
            <w:tcW w:type="dxa" w:w="2268"/>
            <w:vAlign w:val="center"/>
          </w:tcPr>
          <w:p>
            <w:pPr>
              <w:spacing w:line="240" w:lineRule="auto" w:after="0" w:before="0"/>
            </w:pPr>
            <w:r/>
            <w:r>
              <w:rPr>
                <w:rFonts w:ascii="Arial" w:hAnsi="Arial" w:eastAsia="Arial"/>
                <w:b/>
                <w:sz w:val="22"/>
              </w:rPr>
              <w:t>Valor</w:t>
            </w:r>
          </w:p>
        </w:tc>
      </w:tr>
      <w:tr>
        <w:tc>
          <w:tcPr>
            <w:tcW w:type="dxa" w:w="4819"/>
            <w:vAlign w:val="center"/>
          </w:tcPr>
          <w:p>
            <w:pPr>
              <w:spacing w:line="240" w:lineRule="auto" w:after="0" w:before="0"/>
            </w:pPr>
            <w:r/>
            <w:r>
              <w:rPr>
                <w:rFonts w:ascii="Arial" w:hAnsi="Arial" w:eastAsia="Arial"/>
                <w:b w:val="0"/>
                <w:sz w:val="22"/>
              </w:rPr>
              <w:t>Peça prático-profissional</w:t>
            </w:r>
          </w:p>
        </w:tc>
        <w:tc>
          <w:tcPr>
            <w:tcW w:type="dxa" w:w="2551"/>
            <w:vAlign w:val="center"/>
          </w:tcPr>
          <w:p>
            <w:pPr>
              <w:spacing w:line="240" w:lineRule="auto" w:after="0" w:before="0"/>
            </w:pPr>
            <w:r/>
            <w:r>
              <w:rPr>
                <w:rFonts w:ascii="Arial" w:hAnsi="Arial" w:eastAsia="Arial"/>
                <w:b w:val="0"/>
                <w:sz w:val="22"/>
              </w:rPr>
              <w:t>Até 40 linhas</w:t>
            </w:r>
          </w:p>
        </w:tc>
        <w:tc>
          <w:tcPr>
            <w:tcW w:type="dxa" w:w="2268"/>
            <w:vAlign w:val="center"/>
          </w:tcPr>
          <w:p>
            <w:pPr>
              <w:spacing w:line="240" w:lineRule="auto" w:after="0" w:before="0"/>
            </w:pPr>
            <w:r/>
            <w:r>
              <w:rPr>
                <w:rFonts w:ascii="Arial" w:hAnsi="Arial" w:eastAsia="Arial"/>
                <w:b w:val="0"/>
                <w:sz w:val="22"/>
              </w:rPr>
              <w:t>4,0 pontos</w:t>
            </w:r>
          </w:p>
        </w:tc>
      </w:tr>
      <w:tr>
        <w:tc>
          <w:tcPr>
            <w:tcW w:type="dxa" w:w="4819"/>
            <w:vAlign w:val="center"/>
          </w:tcPr>
          <w:p>
            <w:pPr>
              <w:spacing w:line="240" w:lineRule="auto" w:after="0" w:before="0"/>
            </w:pPr>
            <w:r/>
            <w:r>
              <w:rPr>
                <w:rFonts w:ascii="Arial" w:hAnsi="Arial" w:eastAsia="Arial"/>
                <w:b w:val="0"/>
                <w:sz w:val="22"/>
              </w:rPr>
              <w:t>Questão discursiva 1</w:t>
            </w:r>
          </w:p>
        </w:tc>
        <w:tc>
          <w:tcPr>
            <w:tcW w:type="dxa" w:w="2551"/>
            <w:vAlign w:val="center"/>
          </w:tcPr>
          <w:p>
            <w:pPr>
              <w:spacing w:line="240" w:lineRule="auto" w:after="0" w:before="0"/>
            </w:pPr>
            <w:r/>
            <w:r>
              <w:rPr>
                <w:rFonts w:ascii="Arial" w:hAnsi="Arial" w:eastAsia="Arial"/>
                <w:b w:val="0"/>
                <w:sz w:val="22"/>
              </w:rPr>
              <w:t>Até 20 linhas</w:t>
            </w:r>
          </w:p>
        </w:tc>
        <w:tc>
          <w:tcPr>
            <w:tcW w:type="dxa" w:w="2268"/>
            <w:vAlign w:val="center"/>
          </w:tcPr>
          <w:p>
            <w:pPr>
              <w:spacing w:line="240" w:lineRule="auto" w:after="0" w:before="0"/>
            </w:pPr>
            <w:r/>
            <w:r>
              <w:rPr>
                <w:rFonts w:ascii="Arial" w:hAnsi="Arial" w:eastAsia="Arial"/>
                <w:b w:val="0"/>
                <w:sz w:val="22"/>
              </w:rPr>
              <w:t>2,0 pontos</w:t>
            </w:r>
          </w:p>
        </w:tc>
      </w:tr>
      <w:tr>
        <w:tc>
          <w:tcPr>
            <w:tcW w:type="dxa" w:w="4819"/>
            <w:vAlign w:val="center"/>
          </w:tcPr>
          <w:p>
            <w:pPr>
              <w:spacing w:line="240" w:lineRule="auto" w:after="0" w:before="0"/>
            </w:pPr>
            <w:r/>
            <w:r>
              <w:rPr>
                <w:rFonts w:ascii="Arial" w:hAnsi="Arial" w:eastAsia="Arial"/>
                <w:b w:val="0"/>
                <w:sz w:val="22"/>
              </w:rPr>
              <w:t>Questão discursiva 2</w:t>
            </w:r>
          </w:p>
        </w:tc>
        <w:tc>
          <w:tcPr>
            <w:tcW w:type="dxa" w:w="2551"/>
            <w:vAlign w:val="center"/>
          </w:tcPr>
          <w:p>
            <w:pPr>
              <w:spacing w:line="240" w:lineRule="auto" w:after="0" w:before="0"/>
            </w:pPr>
            <w:r/>
            <w:r>
              <w:rPr>
                <w:rFonts w:ascii="Arial" w:hAnsi="Arial" w:eastAsia="Arial"/>
                <w:b w:val="0"/>
                <w:sz w:val="22"/>
              </w:rPr>
              <w:t>Até 20 linhas</w:t>
            </w:r>
          </w:p>
        </w:tc>
        <w:tc>
          <w:tcPr>
            <w:tcW w:type="dxa" w:w="2268"/>
            <w:vAlign w:val="center"/>
          </w:tcPr>
          <w:p>
            <w:pPr>
              <w:spacing w:line="240" w:lineRule="auto" w:after="0" w:before="0"/>
            </w:pPr>
            <w:r/>
            <w:r>
              <w:rPr>
                <w:rFonts w:ascii="Arial" w:hAnsi="Arial" w:eastAsia="Arial"/>
                <w:b w:val="0"/>
                <w:sz w:val="22"/>
              </w:rPr>
              <w:t>2,0 pontos</w:t>
            </w:r>
          </w:p>
        </w:tc>
      </w:tr>
      <w:tr>
        <w:tc>
          <w:tcPr>
            <w:tcW w:type="dxa" w:w="4819"/>
            <w:vAlign w:val="center"/>
          </w:tcPr>
          <w:p>
            <w:pPr>
              <w:spacing w:line="240" w:lineRule="auto" w:after="0" w:before="0"/>
            </w:pPr>
            <w:r/>
            <w:r>
              <w:rPr>
                <w:rFonts w:ascii="Arial" w:hAnsi="Arial" w:eastAsia="Arial"/>
                <w:b w:val="0"/>
                <w:sz w:val="22"/>
              </w:rPr>
              <w:t>Questão discursiva 3</w:t>
            </w:r>
          </w:p>
        </w:tc>
        <w:tc>
          <w:tcPr>
            <w:tcW w:type="dxa" w:w="2551"/>
            <w:vAlign w:val="center"/>
          </w:tcPr>
          <w:p>
            <w:pPr>
              <w:spacing w:line="240" w:lineRule="auto" w:after="0" w:before="0"/>
            </w:pPr>
            <w:r/>
            <w:r>
              <w:rPr>
                <w:rFonts w:ascii="Arial" w:hAnsi="Arial" w:eastAsia="Arial"/>
                <w:b w:val="0"/>
                <w:sz w:val="22"/>
              </w:rPr>
              <w:t>Até 20 linhas</w:t>
            </w:r>
          </w:p>
        </w:tc>
        <w:tc>
          <w:tcPr>
            <w:tcW w:type="dxa" w:w="2268"/>
            <w:vAlign w:val="center"/>
          </w:tcPr>
          <w:p>
            <w:pPr>
              <w:spacing w:line="240" w:lineRule="auto" w:after="0" w:before="0"/>
            </w:pPr>
            <w:r/>
            <w:r>
              <w:rPr>
                <w:rFonts w:ascii="Arial" w:hAnsi="Arial" w:eastAsia="Arial"/>
                <w:b w:val="0"/>
                <w:sz w:val="22"/>
              </w:rPr>
              <w:t>2,0 pontos</w:t>
            </w:r>
          </w:p>
        </w:tc>
      </w:tr>
      <w:tr>
        <w:tc>
          <w:tcPr>
            <w:tcW w:type="dxa" w:w="4819"/>
            <w:vAlign w:val="center"/>
          </w:tcPr>
          <w:p>
            <w:pPr>
              <w:spacing w:line="240" w:lineRule="auto" w:after="0" w:before="0"/>
            </w:pPr>
            <w:r/>
            <w:r>
              <w:rPr>
                <w:rFonts w:ascii="Arial" w:hAnsi="Arial" w:eastAsia="Arial"/>
                <w:b w:val="0"/>
                <w:sz w:val="22"/>
              </w:rPr>
              <w:t>Total por prova</w:t>
            </w:r>
          </w:p>
        </w:tc>
        <w:tc>
          <w:tcPr>
            <w:tcW w:type="dxa" w:w="2551"/>
            <w:vAlign w:val="center"/>
          </w:tcPr>
          <w:p>
            <w:pPr>
              <w:spacing w:line="240" w:lineRule="auto" w:after="0" w:before="0"/>
            </w:pPr>
            <w:r/>
            <w:r>
              <w:rPr>
                <w:rFonts w:ascii="Arial" w:hAnsi="Arial" w:eastAsia="Arial"/>
                <w:b w:val="0"/>
                <w:sz w:val="22"/>
              </w:rPr>
              <w:t>-</w:t>
            </w:r>
          </w:p>
        </w:tc>
        <w:tc>
          <w:tcPr>
            <w:tcW w:type="dxa" w:w="2268"/>
            <w:vAlign w:val="center"/>
          </w:tcPr>
          <w:p>
            <w:pPr>
              <w:spacing w:line="240" w:lineRule="auto" w:after="0" w:before="0"/>
            </w:pPr>
            <w:r/>
            <w:r>
              <w:rPr>
                <w:rFonts w:ascii="Arial" w:hAnsi="Arial" w:eastAsia="Arial"/>
                <w:b w:val="0"/>
                <w:sz w:val="22"/>
              </w:rPr>
              <w:t>10,0 pontos</w:t>
            </w:r>
          </w:p>
        </w:tc>
      </w:tr>
    </w:tbl>
    <w:p>
      <w:pPr>
        <w:spacing w:line="240" w:lineRule="auto" w:after="0" w:before="0"/>
      </w:pPr>
    </w:p>
    <w:p>
      <w:pPr>
        <w:spacing w:line="240" w:lineRule="auto" w:after="0" w:before="0"/>
      </w:pPr>
      <w:r>
        <w:rPr>
          <w:rFonts w:ascii="Arial" w:hAnsi="Arial" w:eastAsia="Arial"/>
          <w:b w:val="0"/>
          <w:sz w:val="22"/>
        </w:rPr>
        <w:t>Consideradas as quatro avaliações, a etapa compreende 4 peças prático-profissionais e 12 questões discursivas, perfazendo 40 pontos brutos.</w:t>
      </w:r>
    </w:p>
    <w:p>
      <w:pPr>
        <w:spacing w:line="240" w:lineRule="auto" w:after="0" w:before="0"/>
      </w:pPr>
      <w:r>
        <w:rPr>
          <w:rFonts w:ascii="Arial" w:hAnsi="Arial" w:eastAsia="Arial"/>
          <w:b/>
          <w:sz w:val="22"/>
        </w:rPr>
        <w:t>2.5. Cálculo da nota</w:t>
      </w:r>
    </w:p>
    <w:p>
      <w:pPr>
        <w:spacing w:line="240" w:lineRule="auto" w:after="0" w:before="0"/>
      </w:pPr>
      <w:r>
        <w:rPr>
          <w:rFonts w:ascii="Arial" w:hAnsi="Arial" w:eastAsia="Arial"/>
          <w:b w:val="0"/>
          <w:sz w:val="22"/>
        </w:rPr>
        <w:t>A nota final da etapa corresponde à média aritmética simples das notas obtidas em P1, P2, P3 e P4, segundo a fórmula: (P1 + P2 + P3 + P4) ÷ 4. O edital afasta arredondamentos, determinando o desprezo das frações inferiores ao centésimo.</w:t>
      </w:r>
    </w:p>
    <w:p>
      <w:pPr>
        <w:spacing w:line="240" w:lineRule="auto" w:after="0" w:before="0"/>
      </w:pPr>
      <w:r>
        <w:rPr>
          <w:rFonts w:ascii="Arial" w:hAnsi="Arial" w:eastAsia="Arial"/>
          <w:b/>
          <w:sz w:val="22"/>
        </w:rPr>
        <w:t>2.6. Critérios de aprovação e eliminação</w:t>
      </w:r>
    </w:p>
    <w:p>
      <w:pPr>
        <w:spacing w:line="240" w:lineRule="auto" w:after="0" w:before="0"/>
      </w:pPr>
      <w:r>
        <w:rPr>
          <w:rFonts w:ascii="Arial" w:hAnsi="Arial" w:eastAsia="Arial"/>
          <w:b w:val="0"/>
          <w:sz w:val="22"/>
        </w:rPr>
        <w:t>A aprovação depende do atendimento cumulativo de dois requisitos: média geral igual ou superior a 6,0 e inexistência de nota inferior a 5,0 em qualquer prova isolada. Assim, mesmo com média superior a 6,0, o candidato será eliminado se obtiver menos de 5,0 em uma das provas. Exemplo: notas P1 = 7,0, P2 = 8,0, P3 = 4,9 e P4 = 7,5 geram média 6,85, mas acarretam eliminação em razão da nota insuficiente em P3.</w:t>
      </w:r>
    </w:p>
    <w:p>
      <w:pPr>
        <w:spacing w:line="240" w:lineRule="auto" w:after="0" w:before="0"/>
      </w:pPr>
      <w:r>
        <w:rPr>
          <w:rFonts w:ascii="Arial" w:hAnsi="Arial" w:eastAsia="Arial"/>
          <w:b/>
          <w:sz w:val="22"/>
        </w:rPr>
        <w:t>2.7. Critérios de avaliação e correção</w:t>
      </w:r>
    </w:p>
    <w:p>
      <w:pPr>
        <w:spacing w:line="240" w:lineRule="auto" w:after="0" w:before="0"/>
      </w:pPr>
      <w:r>
        <w:rPr>
          <w:rFonts w:ascii="Arial" w:hAnsi="Arial" w:eastAsia="Arial"/>
          <w:b w:val="0"/>
          <w:sz w:val="22"/>
        </w:rPr>
        <w:t>Na correção das respostas, serão considerados o acerto do conteúdo, o grau de conhecimento jurídico demonstrado e a fluência/coerência da exposição. O edital registra que a nota será proporcionalmente prejudicada quando a abordagem for tangencial, parcial, diluída em divagações ou baseada em colagem de textos e questões. Além disso, a mera transcrição de dispositivo legal, sem desenvolvimento argumentativo, não é suficiente para caracterizar resposta adequada.</w:t>
      </w:r>
    </w:p>
    <w:p>
      <w:pPr>
        <w:spacing w:line="240" w:lineRule="auto" w:after="0" w:before="0"/>
      </w:pPr>
      <w:r>
        <w:rPr>
          <w:rFonts w:ascii="Arial" w:hAnsi="Arial" w:eastAsia="Arial"/>
          <w:b/>
          <w:sz w:val="22"/>
        </w:rPr>
        <w:t>2.8. Hipóteses de nota zero</w:t>
      </w:r>
    </w:p>
    <w:p>
      <w:pPr>
        <w:spacing w:line="240" w:lineRule="auto" w:after="0" w:before="0"/>
      </w:pPr>
      <w:r>
        <w:rPr>
          <w:rFonts w:ascii="Arial" w:hAnsi="Arial" w:eastAsia="Arial"/>
          <w:b w:val="0"/>
          <w:sz w:val="22"/>
        </w:rPr>
        <w:t>Receberá nota zero a questão escrita em desacordo com a forma exigida, em branco, com letra ilegível, redigida sem caneta esferográfica azul ou preta, ou que permita a identificação do candidato por assinatura, rubrica ou qualquer sinal identificador. Também haverá nota zero na respectiva prova em caso de fuga ao tema, ausência de texto, erro de preenchimento ou identificação em local indevido.</w:t>
      </w:r>
    </w:p>
    <w:p>
      <w:pPr>
        <w:spacing w:line="240" w:lineRule="auto" w:after="0" w:before="0"/>
      </w:pPr>
      <w:r>
        <w:rPr>
          <w:rFonts w:ascii="Arial" w:hAnsi="Arial" w:eastAsia="Arial"/>
          <w:b/>
          <w:sz w:val="22"/>
        </w:rPr>
        <w:t>2.9. Folha de textos definitivos</w:t>
      </w:r>
    </w:p>
    <w:p>
      <w:pPr>
        <w:spacing w:line="240" w:lineRule="auto" w:after="0" w:before="0"/>
      </w:pPr>
      <w:r>
        <w:rPr>
          <w:rFonts w:ascii="Arial" w:hAnsi="Arial" w:eastAsia="Arial"/>
          <w:b w:val="0"/>
          <w:sz w:val="22"/>
        </w:rPr>
        <w:t>Somente o conteúdo lançado na folha de textos definitivos será corrigido. O rascunho constante do caderno de provas é facultativo e desconsiderado para avaliação. As respostas devem ser manuscritas de forma legível, com caneta esferográfica de tinta azul ou preta, em material transparente. A folha definitiva não pode ser assinada, rubricada ou conter qualquer marca de identificação, sob pena de anulação e eliminação. Não haverá substituição da folha por erro do candidato, sendo a transcrição correta de inteira responsabilidade do examinando. O candidato que deixar de devolver a folha de texto definitivo será eliminado do concurso.</w:t>
      </w:r>
    </w:p>
    <w:p>
      <w:pPr>
        <w:spacing w:line="240" w:lineRule="auto" w:after="0" w:before="0"/>
      </w:pPr>
      <w:r>
        <w:rPr>
          <w:rFonts w:ascii="Arial" w:hAnsi="Arial" w:eastAsia="Arial"/>
          <w:b/>
          <w:sz w:val="22"/>
        </w:rPr>
        <w:t>2.10. Material de consulta permitido e proibido</w:t>
      </w:r>
    </w:p>
    <w:p>
      <w:pPr>
        <w:spacing w:line="240" w:lineRule="auto" w:after="0" w:before="0"/>
      </w:pPr>
      <w:r>
        <w:rPr>
          <w:rFonts w:ascii="Arial" w:hAnsi="Arial" w:eastAsia="Arial"/>
          <w:b/>
          <w:sz w:val="22"/>
        </w:rPr>
        <w:t xml:space="preserve">Material permitido: </w:t>
      </w:r>
      <w:r>
        <w:rPr>
          <w:rFonts w:ascii="Arial" w:hAnsi="Arial" w:eastAsia="Arial"/>
          <w:b w:val="0"/>
          <w:sz w:val="22"/>
        </w:rPr>
        <w:t>legislação não comentada, não anotada e não comparada; códigos; decretos; resoluções; instruções normativas; portarias; índice remissivo, exceto se contiver trechos de súmulas; regimentos internos; leis de introdução dos códigos; e exposições de motivos dos códigos.</w:t>
      </w:r>
    </w:p>
    <w:p>
      <w:pPr>
        <w:spacing w:line="240" w:lineRule="auto" w:after="0" w:before="0"/>
      </w:pPr>
      <w:r>
        <w:rPr>
          <w:rFonts w:ascii="Arial" w:hAnsi="Arial" w:eastAsia="Arial"/>
          <w:b/>
          <w:sz w:val="22"/>
        </w:rPr>
        <w:t xml:space="preserve">Marcações permitidas: </w:t>
      </w:r>
      <w:r>
        <w:rPr>
          <w:rFonts w:ascii="Arial" w:hAnsi="Arial" w:eastAsia="Arial"/>
          <w:b w:val="0"/>
          <w:sz w:val="22"/>
        </w:rPr>
        <w:t>evidências de uso anterior, como marca-texto, sublinhados, simples remissão a artigos ou texto legal, remissão apenas ao número de súmulas e decisões, sem transcrição do conteúdo, além da separação por cores, marcadores de página, post-its, clipes ou similares.</w:t>
      </w:r>
    </w:p>
    <w:p>
      <w:pPr>
        <w:spacing w:line="240" w:lineRule="auto" w:after="0" w:before="0"/>
      </w:pPr>
      <w:r>
        <w:rPr>
          <w:rFonts w:ascii="Arial" w:hAnsi="Arial" w:eastAsia="Arial"/>
          <w:b/>
          <w:sz w:val="22"/>
        </w:rPr>
        <w:t xml:space="preserve">Material proibido: </w:t>
      </w:r>
      <w:r>
        <w:rPr>
          <w:rFonts w:ascii="Arial" w:hAnsi="Arial" w:eastAsia="Arial"/>
          <w:b w:val="0"/>
          <w:sz w:val="22"/>
        </w:rPr>
        <w:t>códigos comentados, anotados ou comparados; anotações pessoais; súmulas, enunciados, jurisprudências e informativos; cópias reprográficas ou documentos extraídos da internet; revistas; doutrina; apostilas; materiais com modelos de petições, roteiros ou fluxogramas; dicionários; e equipamentos eletrônicos, como computador, notebook e tablet.</w:t>
      </w:r>
    </w:p>
    <w:p>
      <w:pPr>
        <w:spacing w:line="240" w:lineRule="auto" w:after="0" w:before="0"/>
      </w:pPr>
      <w:r>
        <w:rPr>
          <w:rFonts w:ascii="Arial" w:hAnsi="Arial" w:eastAsia="Arial"/>
          <w:b/>
          <w:sz w:val="22"/>
        </w:rPr>
        <w:t xml:space="preserve">Fiscalização: </w:t>
      </w:r>
      <w:r>
        <w:rPr>
          <w:rFonts w:ascii="Arial" w:hAnsi="Arial" w:eastAsia="Arial"/>
          <w:b w:val="0"/>
          <w:sz w:val="22"/>
        </w:rPr>
        <w:t>o material será submetido à inspeção prévia e poderá ser retido se estiver em desacordo com as regras. O candidato deve isolar, com grampo ou fita adesiva, as partes não permitidas dos textos de consulta. É vedado o empréstimo de material entre candidatos. O descumprimento das instruções acarreta eliminação e anulação das provas.</w:t>
      </w:r>
    </w:p>
    <w:p>
      <w:pPr>
        <w:spacing w:line="240" w:lineRule="auto" w:after="0" w:before="0"/>
      </w:pPr>
      <w:r>
        <w:rPr>
          <w:rFonts w:ascii="Arial" w:hAnsi="Arial" w:eastAsia="Arial"/>
          <w:b/>
          <w:sz w:val="22"/>
        </w:rPr>
        <w:t>2.11. Regras de aplicação e permanência</w:t>
      </w:r>
    </w:p>
    <w:p>
      <w:pPr>
        <w:spacing w:line="240" w:lineRule="auto" w:after="0" w:before="0"/>
      </w:pPr>
      <w:r>
        <w:rPr>
          <w:rFonts w:ascii="Arial" w:hAnsi="Arial" w:eastAsia="Arial"/>
          <w:b w:val="0"/>
          <w:sz w:val="22"/>
        </w:rPr>
        <w:t>Os locais de prova serão divulgados no site da FGV a partir de 10 de agosto de 2026. Os portões serão abertos às 11h30 e fechados impreterivelmente às 12h30, horário de Brasília, recomendando-se chegada com antecedência mínima de 1h30. O candidato deve permanecer no local por, no mínimo, 3 horas após o início da prova, sob pena de eliminação e não correção. O caderno de questões somente pode ser levado ao final do tempo regular ou se a saída ocorrer nos 30 minutos finais. Os três últimos candidatos devem permanecer juntos até a entrega do material e registro em ata. Após o fechamento dos portões, é vedada a entrada de pessoas ou objetos e qualquer contato com o ambiente externo.</w:t>
      </w:r>
    </w:p>
    <w:p>
      <w:pPr>
        <w:spacing w:line="240" w:lineRule="auto" w:after="0" w:before="0"/>
      </w:pPr>
      <w:r>
        <w:rPr>
          <w:rFonts w:ascii="Arial" w:hAnsi="Arial" w:eastAsia="Arial"/>
          <w:b/>
          <w:sz w:val="22"/>
        </w:rPr>
        <w:t>2.12. Objetos e condutas proibidas</w:t>
      </w:r>
    </w:p>
    <w:p>
      <w:pPr>
        <w:spacing w:line="240" w:lineRule="auto" w:after="0" w:before="0"/>
      </w:pPr>
      <w:r>
        <w:rPr>
          <w:rFonts w:ascii="Arial" w:hAnsi="Arial" w:eastAsia="Arial"/>
          <w:b w:val="0"/>
          <w:sz w:val="22"/>
        </w:rPr>
        <w:t>É causa de eliminação portar aparelhos eletrônicos, relógio de qualquer espécie, carteira, óculos escuros, acessórios de chapelaria, lápis, lapiseira, corretor líquido ou borracha. Os equipamentos eletrônicos e materiais não permitidos devem ser recolhidos em envelope porta-objetos não reutilizável, lacrado até a saída do local. Candidatos com cabelos longos devem mantê-los presos, com as orelhas visíveis. Haverá detecção de metais no ingresso, na saída e no acesso aos sanitários.</w:t>
      </w:r>
    </w:p>
    <w:p>
      <w:pPr>
        <w:spacing w:line="240" w:lineRule="auto" w:after="0" w:before="0"/>
      </w:pPr>
      <w:r>
        <w:rPr>
          <w:rFonts w:ascii="Arial" w:hAnsi="Arial" w:eastAsia="Arial"/>
          <w:b/>
          <w:sz w:val="22"/>
        </w:rPr>
        <w:t>2.13. Alimentação e água</w:t>
      </w:r>
    </w:p>
    <w:p>
      <w:pPr>
        <w:spacing w:line="240" w:lineRule="auto" w:after="0" w:before="0"/>
      </w:pPr>
      <w:r>
        <w:rPr>
          <w:rFonts w:ascii="Arial" w:hAnsi="Arial" w:eastAsia="Arial"/>
          <w:b w:val="0"/>
          <w:sz w:val="22"/>
        </w:rPr>
        <w:t>Admite-se o consumo de alimentos de rápida ingestão, quando estritamente necessário, de modo discreto e silencioso. Os recipientes de alimentos e bebidas devem ser transparentes e sem rótulos, inscrições, embalagens secundárias ou qualquer elemento que impeça a visualização do conteúdo. Não são permitidos recipientes térmicos, metálicos ou opacos, podendo a banca inspecioná-los a qualquer momento.</w:t>
      </w:r>
    </w:p>
    <w:p>
      <w:pPr>
        <w:spacing w:line="240" w:lineRule="auto" w:after="0" w:before="0"/>
      </w:pPr>
      <w:r>
        <w:rPr>
          <w:rFonts w:ascii="Arial" w:hAnsi="Arial" w:eastAsia="Arial"/>
          <w:b/>
          <w:sz w:val="22"/>
        </w:rPr>
        <w:t>2.14. Candidatas lactantes</w:t>
      </w:r>
    </w:p>
    <w:p>
      <w:pPr>
        <w:spacing w:line="240" w:lineRule="auto" w:after="0" w:before="0"/>
      </w:pPr>
      <w:r>
        <w:rPr>
          <w:rFonts w:ascii="Arial" w:hAnsi="Arial" w:eastAsia="Arial"/>
          <w:b w:val="0"/>
          <w:sz w:val="22"/>
        </w:rPr>
        <w:t>A candidata lactante que necessitar amamentar deverá solicitar previamente atendimento especial. Se o pedido for deferido, deverá comparecer com acompanhante maior de 18 anos, responsável pela guarda da criança. O direito de amamentação poderá ser exercido a cada intervalo de 2 horas, por até 30 minutos por filho, sempre com acompanhamento de fiscal. O tempo despendido será compensado em igual período, conforme a Lei Federal nº 13.872/2019.</w:t>
      </w:r>
    </w:p>
    <w:p>
      <w:pPr>
        <w:spacing w:line="240" w:lineRule="auto" w:after="0" w:before="0"/>
      </w:pPr>
      <w:r>
        <w:rPr>
          <w:rFonts w:ascii="Arial" w:hAnsi="Arial" w:eastAsia="Arial"/>
          <w:b/>
          <w:sz w:val="22"/>
        </w:rPr>
        <w:t>2.15. Resultados e recursos</w:t>
      </w:r>
    </w:p>
    <w:p>
      <w:pPr>
        <w:spacing w:line="240" w:lineRule="auto" w:after="0" w:before="0"/>
      </w:pPr>
      <w:r>
        <w:rPr>
          <w:rFonts w:ascii="Arial" w:hAnsi="Arial" w:eastAsia="Arial"/>
          <w:b w:val="0"/>
          <w:sz w:val="22"/>
        </w:rPr>
        <w:t>O resultado preliminar das Provas Discursivas será divulgado no portal da FGV. Caberá recurso no prazo de 2 dias úteis, contados do primeiro dia útil subsequente à publicação, por meio de formulário próprio. O recurso deve ser claro, consistente e objetivo. Pleitos inconsistentes, intempestivos, preenchidos incorretamente ou com identificação do candidato não serão conhecidos. Não há pedido de revisão de recurso. O resultado final será divulgado após a análise dos recursos apresentados.</w:t>
      </w:r>
    </w:p>
    <w:p>
      <w:pPr>
        <w:spacing w:line="240" w:lineRule="auto" w:after="0" w:before="0"/>
      </w:pPr>
      <w:r>
        <w:rPr>
          <w:rFonts w:ascii="Arial" w:hAnsi="Arial" w:eastAsia="Arial"/>
          <w:b/>
          <w:sz w:val="22"/>
        </w:rPr>
        <w:t>2.16. Peso das Provas Discursivas na nota final</w:t>
      </w:r>
    </w:p>
    <w:p>
      <w:pPr>
        <w:spacing w:line="240" w:lineRule="auto" w:after="0" w:before="0"/>
      </w:pPr>
      <w:r>
        <w:rPr>
          <w:rFonts w:ascii="Arial" w:hAnsi="Arial" w:eastAsia="Arial"/>
          <w:b w:val="0"/>
          <w:sz w:val="22"/>
        </w:rPr>
        <w:t>A nota final do concurso observa a fórmula NF = (PD + PO) ÷ 2 + AT ÷ 20, em que NF é a nota final do certame, PD é a nota das Provas Discursivas, PO é a nota da Prova Oral e AT é a nota da Avaliação de Títulos. A etapa discursiva tem impacto central na classificação final, pois compõe metade da média entre as fases escrita e oral, somando-se ainda a fração correspondente aos títulos.</w:t>
      </w:r>
    </w:p>
    <w:p>
      <w:pPr>
        <w:spacing w:line="240" w:lineRule="auto" w:after="0" w:before="0"/>
      </w:pPr>
      <w:r>
        <w:rPr>
          <w:rFonts w:ascii="Arial" w:hAnsi="Arial" w:eastAsia="Arial"/>
          <w:b/>
          <w:sz w:val="22"/>
        </w:rPr>
        <w:t>2.17. Cronograma estimado</w:t>
      </w:r>
    </w:p>
    <w:tbl>
      <w:tblPr>
        <w:tblStyle w:val="TableGrid"/>
        <w:tblW w:type="auto" w:w="0"/>
        <w:jc w:val="center"/>
        <w:tblLook w:firstColumn="1" w:firstRow="1" w:lastColumn="0" w:lastRow="0" w:noHBand="0" w:noVBand="1" w:val="04A0"/>
      </w:tblPr>
      <w:tblGrid>
        <w:gridCol w:w="4536"/>
        <w:gridCol w:w="4536"/>
      </w:tblGrid>
      <w:tr>
        <w:tc>
          <w:tcPr>
            <w:tcW w:type="dxa" w:w="5102"/>
            <w:vAlign w:val="center"/>
          </w:tcPr>
          <w:p>
            <w:pPr>
              <w:spacing w:line="240" w:lineRule="auto" w:after="0" w:before="0"/>
            </w:pPr>
            <w:r/>
            <w:r>
              <w:rPr>
                <w:rFonts w:ascii="Arial" w:hAnsi="Arial" w:eastAsia="Arial"/>
                <w:b/>
                <w:sz w:val="22"/>
              </w:rPr>
              <w:t>Evento</w:t>
            </w:r>
          </w:p>
        </w:tc>
        <w:tc>
          <w:tcPr>
            <w:tcW w:type="dxa" w:w="3969"/>
            <w:vAlign w:val="center"/>
          </w:tcPr>
          <w:p>
            <w:pPr>
              <w:spacing w:line="240" w:lineRule="auto" w:after="0" w:before="0"/>
            </w:pPr>
            <w:r/>
            <w:r>
              <w:rPr>
                <w:rFonts w:ascii="Arial" w:hAnsi="Arial" w:eastAsia="Arial"/>
                <w:b/>
                <w:sz w:val="22"/>
              </w:rPr>
              <w:t>Data provável ou referência</w:t>
            </w:r>
          </w:p>
        </w:tc>
      </w:tr>
      <w:tr>
        <w:tc>
          <w:tcPr>
            <w:tcW w:type="dxa" w:w="5102"/>
            <w:vAlign w:val="center"/>
          </w:tcPr>
          <w:p>
            <w:pPr>
              <w:spacing w:line="240" w:lineRule="auto" w:after="0" w:before="0"/>
            </w:pPr>
            <w:r/>
            <w:r>
              <w:rPr>
                <w:rFonts w:ascii="Arial" w:hAnsi="Arial" w:eastAsia="Arial"/>
                <w:b w:val="0"/>
                <w:sz w:val="22"/>
              </w:rPr>
              <w:t>Divulgação dos locais de prova</w:t>
            </w:r>
          </w:p>
        </w:tc>
        <w:tc>
          <w:tcPr>
            <w:tcW w:type="dxa" w:w="3969"/>
            <w:vAlign w:val="center"/>
          </w:tcPr>
          <w:p>
            <w:pPr>
              <w:spacing w:line="240" w:lineRule="auto" w:after="0" w:before="0"/>
            </w:pPr>
            <w:r/>
            <w:r>
              <w:rPr>
                <w:rFonts w:ascii="Arial" w:hAnsi="Arial" w:eastAsia="Arial"/>
                <w:b w:val="0"/>
                <w:sz w:val="22"/>
              </w:rPr>
              <w:t>A partir de 10/08/2026</w:t>
            </w:r>
          </w:p>
        </w:tc>
      </w:tr>
      <w:tr>
        <w:tc>
          <w:tcPr>
            <w:tcW w:type="dxa" w:w="5102"/>
            <w:vAlign w:val="center"/>
          </w:tcPr>
          <w:p>
            <w:pPr>
              <w:spacing w:line="240" w:lineRule="auto" w:after="0" w:before="0"/>
            </w:pPr>
            <w:r/>
            <w:r>
              <w:rPr>
                <w:rFonts w:ascii="Arial" w:hAnsi="Arial" w:eastAsia="Arial"/>
                <w:b w:val="0"/>
                <w:sz w:val="22"/>
              </w:rPr>
              <w:t>Aplicação das provas P1 e P2</w:t>
            </w:r>
          </w:p>
        </w:tc>
        <w:tc>
          <w:tcPr>
            <w:tcW w:type="dxa" w:w="3969"/>
            <w:vAlign w:val="center"/>
          </w:tcPr>
          <w:p>
            <w:pPr>
              <w:spacing w:line="240" w:lineRule="auto" w:after="0" w:before="0"/>
            </w:pPr>
            <w:r/>
            <w:r>
              <w:rPr>
                <w:rFonts w:ascii="Arial" w:hAnsi="Arial" w:eastAsia="Arial"/>
                <w:b w:val="0"/>
                <w:sz w:val="22"/>
              </w:rPr>
              <w:t>16/08/2026 - manhã e tarde</w:t>
            </w:r>
          </w:p>
        </w:tc>
      </w:tr>
      <w:tr>
        <w:tc>
          <w:tcPr>
            <w:tcW w:type="dxa" w:w="5102"/>
            <w:vAlign w:val="center"/>
          </w:tcPr>
          <w:p>
            <w:pPr>
              <w:spacing w:line="240" w:lineRule="auto" w:after="0" w:before="0"/>
            </w:pPr>
            <w:r/>
            <w:r>
              <w:rPr>
                <w:rFonts w:ascii="Arial" w:hAnsi="Arial" w:eastAsia="Arial"/>
                <w:b w:val="0"/>
                <w:sz w:val="22"/>
              </w:rPr>
              <w:t>Aplicação das provas P3 e P4</w:t>
            </w:r>
          </w:p>
        </w:tc>
        <w:tc>
          <w:tcPr>
            <w:tcW w:type="dxa" w:w="3969"/>
            <w:vAlign w:val="center"/>
          </w:tcPr>
          <w:p>
            <w:pPr>
              <w:spacing w:line="240" w:lineRule="auto" w:after="0" w:before="0"/>
            </w:pPr>
            <w:r/>
            <w:r>
              <w:rPr>
                <w:rFonts w:ascii="Arial" w:hAnsi="Arial" w:eastAsia="Arial"/>
                <w:b w:val="0"/>
                <w:sz w:val="22"/>
              </w:rPr>
              <w:t>17/08/2026 - manhã e tarde</w:t>
            </w:r>
          </w:p>
        </w:tc>
      </w:tr>
      <w:tr>
        <w:tc>
          <w:tcPr>
            <w:tcW w:type="dxa" w:w="5102"/>
            <w:vAlign w:val="center"/>
          </w:tcPr>
          <w:p>
            <w:pPr>
              <w:spacing w:line="240" w:lineRule="auto" w:after="0" w:before="0"/>
            </w:pPr>
            <w:r/>
            <w:r>
              <w:rPr>
                <w:rFonts w:ascii="Arial" w:hAnsi="Arial" w:eastAsia="Arial"/>
                <w:b w:val="0"/>
                <w:sz w:val="22"/>
              </w:rPr>
              <w:t>Resultado preliminar</w:t>
            </w:r>
          </w:p>
        </w:tc>
        <w:tc>
          <w:tcPr>
            <w:tcW w:type="dxa" w:w="3969"/>
            <w:vAlign w:val="center"/>
          </w:tcPr>
          <w:p>
            <w:pPr>
              <w:spacing w:line="240" w:lineRule="auto" w:after="0" w:before="0"/>
            </w:pPr>
            <w:r/>
            <w:r>
              <w:rPr>
                <w:rFonts w:ascii="Arial" w:hAnsi="Arial" w:eastAsia="Arial"/>
                <w:b w:val="0"/>
                <w:sz w:val="22"/>
              </w:rPr>
              <w:t>A ser divulgado no site da FGV</w:t>
            </w:r>
          </w:p>
        </w:tc>
      </w:tr>
      <w:tr>
        <w:tc>
          <w:tcPr>
            <w:tcW w:type="dxa" w:w="5102"/>
            <w:vAlign w:val="center"/>
          </w:tcPr>
          <w:p>
            <w:pPr>
              <w:spacing w:line="240" w:lineRule="auto" w:after="0" w:before="0"/>
            </w:pPr>
            <w:r/>
            <w:r>
              <w:rPr>
                <w:rFonts w:ascii="Arial" w:hAnsi="Arial" w:eastAsia="Arial"/>
                <w:b w:val="0"/>
                <w:sz w:val="22"/>
              </w:rPr>
              <w:t>Prazo para recursos</w:t>
            </w:r>
          </w:p>
        </w:tc>
        <w:tc>
          <w:tcPr>
            <w:tcW w:type="dxa" w:w="3969"/>
            <w:vAlign w:val="center"/>
          </w:tcPr>
          <w:p>
            <w:pPr>
              <w:spacing w:line="240" w:lineRule="auto" w:after="0" w:before="0"/>
            </w:pPr>
            <w:r/>
            <w:r>
              <w:rPr>
                <w:rFonts w:ascii="Arial" w:hAnsi="Arial" w:eastAsia="Arial"/>
                <w:b w:val="0"/>
                <w:sz w:val="22"/>
              </w:rPr>
              <w:t>2 dias úteis após o resultado preliminar</w:t>
            </w:r>
          </w:p>
        </w:tc>
      </w:tr>
      <w:tr>
        <w:tc>
          <w:tcPr>
            <w:tcW w:type="dxa" w:w="5102"/>
            <w:vAlign w:val="center"/>
          </w:tcPr>
          <w:p>
            <w:pPr>
              <w:spacing w:line="240" w:lineRule="auto" w:after="0" w:before="0"/>
            </w:pPr>
            <w:r/>
            <w:r>
              <w:rPr>
                <w:rFonts w:ascii="Arial" w:hAnsi="Arial" w:eastAsia="Arial"/>
                <w:b w:val="0"/>
                <w:sz w:val="22"/>
              </w:rPr>
              <w:t>Resultado final</w:t>
            </w:r>
          </w:p>
        </w:tc>
        <w:tc>
          <w:tcPr>
            <w:tcW w:type="dxa" w:w="3969"/>
            <w:vAlign w:val="center"/>
          </w:tcPr>
          <w:p>
            <w:pPr>
              <w:spacing w:line="240" w:lineRule="auto" w:after="0" w:before="0"/>
            </w:pPr>
            <w:r/>
            <w:r>
              <w:rPr>
                <w:rFonts w:ascii="Arial" w:hAnsi="Arial" w:eastAsia="Arial"/>
                <w:b w:val="0"/>
                <w:sz w:val="22"/>
              </w:rPr>
              <w:t>Após a análise dos recursos</w:t>
            </w:r>
          </w:p>
        </w:tc>
      </w:tr>
    </w:tbl>
    <w:p>
      <w:pPr>
        <w:spacing w:line="240" w:lineRule="auto" w:after="0" w:before="0"/>
      </w:pPr>
    </w:p>
    <w:p>
      <w:pPr>
        <w:spacing w:line="240" w:lineRule="auto" w:after="0" w:before="0"/>
      </w:pPr>
      <w:r>
        <w:rPr>
          <w:rFonts w:ascii="Arial" w:hAnsi="Arial" w:eastAsia="Arial"/>
          <w:b w:val="0"/>
          <w:sz w:val="22"/>
        </w:rPr>
        <w:t>Os horários de aplicação e eventuais alterações no cronograma dependem de edital complementar e de comunicação oficial da banca.</w:t>
      </w:r>
    </w:p>
    <w:p>
      <w:pPr>
        <w:spacing w:line="240" w:lineRule="auto" w:after="0" w:before="0"/>
      </w:pPr>
      <w:r>
        <w:rPr>
          <w:rFonts w:ascii="Arial" w:hAnsi="Arial" w:eastAsia="Arial"/>
          <w:b/>
          <w:sz w:val="22"/>
        </w:rPr>
        <w:t>3. ESPELHO ANALÍTICO EM TABELA (SEM PONTUAÇÃO OFICIAL)</w:t>
      </w:r>
    </w:p>
    <w:tbl>
      <w:tblPr>
        <w:tblStyle w:val="TableGrid"/>
        <w:tblW w:type="auto" w:w="0"/>
        <w:jc w:val="center"/>
        <w:tblLook w:firstColumn="1" w:firstRow="1" w:lastColumn="0" w:lastRow="0" w:noHBand="0" w:noVBand="1" w:val="04A0"/>
      </w:tblPr>
      <w:tblGrid>
        <w:gridCol w:w="3024"/>
        <w:gridCol w:w="3024"/>
        <w:gridCol w:w="3024"/>
      </w:tblGrid>
      <w:tr>
        <w:tc>
          <w:tcPr>
            <w:tcW w:type="dxa" w:w="1984"/>
            <w:vAlign w:val="center"/>
          </w:tcPr>
          <w:p>
            <w:pPr>
              <w:spacing w:line="240" w:lineRule="auto" w:after="0" w:before="0"/>
            </w:pPr>
            <w:r/>
            <w:r>
              <w:rPr>
                <w:rFonts w:ascii="Arial" w:hAnsi="Arial" w:eastAsia="Arial"/>
                <w:b/>
                <w:sz w:val="22"/>
              </w:rPr>
              <w:t>Item</w:t>
            </w:r>
          </w:p>
        </w:tc>
        <w:tc>
          <w:tcPr>
            <w:tcW w:type="dxa" w:w="4819"/>
            <w:vAlign w:val="center"/>
          </w:tcPr>
          <w:p>
            <w:pPr>
              <w:spacing w:line="240" w:lineRule="auto" w:after="0" w:before="0"/>
            </w:pPr>
            <w:r/>
            <w:r>
              <w:rPr>
                <w:rFonts w:ascii="Arial" w:hAnsi="Arial" w:eastAsia="Arial"/>
                <w:b/>
                <w:sz w:val="22"/>
              </w:rPr>
              <w:t>Conteúdo essencial esperado</w:t>
            </w:r>
          </w:p>
        </w:tc>
        <w:tc>
          <w:tcPr>
            <w:tcW w:type="dxa" w:w="2835"/>
            <w:vAlign w:val="center"/>
          </w:tcPr>
          <w:p>
            <w:pPr>
              <w:spacing w:line="240" w:lineRule="auto" w:after="0" w:before="0"/>
            </w:pPr>
            <w:r/>
            <w:r>
              <w:rPr>
                <w:rFonts w:ascii="Arial" w:hAnsi="Arial" w:eastAsia="Arial"/>
                <w:b/>
                <w:sz w:val="22"/>
              </w:rPr>
              <w:t>Observação relevante</w:t>
            </w:r>
          </w:p>
        </w:tc>
      </w:tr>
      <w:tr>
        <w:tc>
          <w:tcPr>
            <w:tcW w:type="dxa" w:w="1984"/>
            <w:vAlign w:val="center"/>
          </w:tcPr>
          <w:p>
            <w:pPr>
              <w:spacing w:line="240" w:lineRule="auto" w:after="0" w:before="0"/>
            </w:pPr>
            <w:r/>
            <w:r>
              <w:rPr>
                <w:rFonts w:ascii="Arial" w:hAnsi="Arial" w:eastAsia="Arial"/>
                <w:b w:val="0"/>
                <w:sz w:val="22"/>
              </w:rPr>
              <w:t>1. Natureza da etapa</w:t>
            </w:r>
          </w:p>
        </w:tc>
        <w:tc>
          <w:tcPr>
            <w:tcW w:type="dxa" w:w="4819"/>
            <w:vAlign w:val="center"/>
          </w:tcPr>
          <w:p>
            <w:pPr>
              <w:spacing w:line="240" w:lineRule="auto" w:after="0" w:before="0"/>
            </w:pPr>
            <w:r/>
            <w:r>
              <w:rPr>
                <w:rFonts w:ascii="Arial" w:hAnsi="Arial" w:eastAsia="Arial"/>
                <w:b w:val="0"/>
                <w:sz w:val="22"/>
              </w:rPr>
              <w:t>2ª fase, com caráter eliminatório e classificatório, composta por 4 provas de 10 pontos e 4 horas.</w:t>
            </w:r>
          </w:p>
        </w:tc>
        <w:tc>
          <w:tcPr>
            <w:tcW w:type="dxa" w:w="2835"/>
            <w:vAlign w:val="center"/>
          </w:tcPr>
          <w:p>
            <w:pPr>
              <w:spacing w:line="240" w:lineRule="auto" w:after="0" w:before="0"/>
            </w:pPr>
            <w:r/>
            <w:r>
              <w:rPr>
                <w:rFonts w:ascii="Arial" w:hAnsi="Arial" w:eastAsia="Arial"/>
                <w:b w:val="0"/>
                <w:sz w:val="22"/>
              </w:rPr>
              <w:t>Aplicação provável em 16 e 17/08/2026, em Cuiabá/MT.</w:t>
            </w:r>
          </w:p>
        </w:tc>
      </w:tr>
      <w:tr>
        <w:tc>
          <w:tcPr>
            <w:tcW w:type="dxa" w:w="1984"/>
            <w:vAlign w:val="center"/>
          </w:tcPr>
          <w:p>
            <w:pPr>
              <w:spacing w:line="240" w:lineRule="auto" w:after="0" w:before="0"/>
            </w:pPr>
            <w:r/>
            <w:r>
              <w:rPr>
                <w:rFonts w:ascii="Arial" w:hAnsi="Arial" w:eastAsia="Arial"/>
                <w:b w:val="0"/>
                <w:sz w:val="22"/>
              </w:rPr>
              <w:t>2. Convocação</w:t>
            </w:r>
          </w:p>
        </w:tc>
        <w:tc>
          <w:tcPr>
            <w:tcW w:type="dxa" w:w="4819"/>
            <w:vAlign w:val="center"/>
          </w:tcPr>
          <w:p>
            <w:pPr>
              <w:spacing w:line="240" w:lineRule="auto" w:after="0" w:before="0"/>
            </w:pPr>
            <w:r/>
            <w:r>
              <w:rPr>
                <w:rFonts w:ascii="Arial" w:hAnsi="Arial" w:eastAsia="Arial"/>
                <w:b w:val="0"/>
                <w:sz w:val="22"/>
              </w:rPr>
              <w:t>Chamamento dos 80 primeiros habilitados na objetiva, com inclusão dos empatados na última posição.</w:t>
            </w:r>
          </w:p>
        </w:tc>
        <w:tc>
          <w:tcPr>
            <w:tcW w:type="dxa" w:w="2835"/>
            <w:vAlign w:val="center"/>
          </w:tcPr>
          <w:p>
            <w:pPr>
              <w:spacing w:line="240" w:lineRule="auto" w:after="0" w:before="0"/>
            </w:pPr>
            <w:r/>
            <w:r>
              <w:rPr>
                <w:rFonts w:ascii="Arial" w:hAnsi="Arial" w:eastAsia="Arial"/>
                <w:b w:val="0"/>
                <w:sz w:val="22"/>
              </w:rPr>
              <w:t>Distribuição entre ampla concorrência, negros e PcD.</w:t>
            </w:r>
          </w:p>
        </w:tc>
      </w:tr>
      <w:tr>
        <w:tc>
          <w:tcPr>
            <w:tcW w:type="dxa" w:w="1984"/>
            <w:vAlign w:val="center"/>
          </w:tcPr>
          <w:p>
            <w:pPr>
              <w:spacing w:line="240" w:lineRule="auto" w:after="0" w:before="0"/>
            </w:pPr>
            <w:r/>
            <w:r>
              <w:rPr>
                <w:rFonts w:ascii="Arial" w:hAnsi="Arial" w:eastAsia="Arial"/>
                <w:b w:val="0"/>
                <w:sz w:val="22"/>
              </w:rPr>
              <w:t>3. Listas reservadas</w:t>
            </w:r>
          </w:p>
        </w:tc>
        <w:tc>
          <w:tcPr>
            <w:tcW w:type="dxa" w:w="4819"/>
            <w:vAlign w:val="center"/>
          </w:tcPr>
          <w:p>
            <w:pPr>
              <w:spacing w:line="240" w:lineRule="auto" w:after="0" w:before="0"/>
            </w:pPr>
            <w:r/>
            <w:r>
              <w:rPr>
                <w:rFonts w:ascii="Arial" w:hAnsi="Arial" w:eastAsia="Arial"/>
                <w:b w:val="0"/>
                <w:sz w:val="22"/>
              </w:rPr>
              <w:t>Negros e PcD aprovados na ampla não consomem vagas reservadas.</w:t>
            </w:r>
          </w:p>
        </w:tc>
        <w:tc>
          <w:tcPr>
            <w:tcW w:type="dxa" w:w="2835"/>
            <w:vAlign w:val="center"/>
          </w:tcPr>
          <w:p>
            <w:pPr>
              <w:spacing w:line="240" w:lineRule="auto" w:after="0" w:before="0"/>
            </w:pPr>
            <w:r/>
            <w:r>
              <w:rPr>
                <w:rFonts w:ascii="Arial" w:hAnsi="Arial" w:eastAsia="Arial"/>
                <w:b w:val="0"/>
                <w:sz w:val="22"/>
              </w:rPr>
              <w:t>Insuficiência reverte à ampla concorrência.</w:t>
            </w:r>
          </w:p>
        </w:tc>
      </w:tr>
      <w:tr>
        <w:tc>
          <w:tcPr>
            <w:tcW w:type="dxa" w:w="1984"/>
            <w:vAlign w:val="center"/>
          </w:tcPr>
          <w:p>
            <w:pPr>
              <w:spacing w:line="240" w:lineRule="auto" w:after="0" w:before="0"/>
            </w:pPr>
            <w:r/>
            <w:r>
              <w:rPr>
                <w:rFonts w:ascii="Arial" w:hAnsi="Arial" w:eastAsia="Arial"/>
                <w:b w:val="0"/>
                <w:sz w:val="22"/>
              </w:rPr>
              <w:t>4. Provas e grupos</w:t>
            </w:r>
          </w:p>
        </w:tc>
        <w:tc>
          <w:tcPr>
            <w:tcW w:type="dxa" w:w="4819"/>
            <w:vAlign w:val="center"/>
          </w:tcPr>
          <w:p>
            <w:pPr>
              <w:spacing w:line="240" w:lineRule="auto" w:after="0" w:before="0"/>
            </w:pPr>
            <w:r/>
            <w:r>
              <w:rPr>
                <w:rFonts w:ascii="Arial" w:hAnsi="Arial" w:eastAsia="Arial"/>
                <w:b w:val="0"/>
                <w:sz w:val="22"/>
              </w:rPr>
              <w:t>P1 a P4 vinculadas aos quatro grupos do edital.</w:t>
            </w:r>
          </w:p>
        </w:tc>
        <w:tc>
          <w:tcPr>
            <w:tcW w:type="dxa" w:w="2835"/>
            <w:vAlign w:val="center"/>
          </w:tcPr>
          <w:p>
            <w:pPr>
              <w:spacing w:line="240" w:lineRule="auto" w:after="0" w:before="0"/>
            </w:pPr>
            <w:r/>
            <w:r>
              <w:rPr>
                <w:rFonts w:ascii="Arial" w:hAnsi="Arial" w:eastAsia="Arial"/>
                <w:b w:val="0"/>
                <w:sz w:val="22"/>
              </w:rPr>
              <w:t>Necessário indicar as disciplinas de cada grupo.</w:t>
            </w:r>
          </w:p>
        </w:tc>
      </w:tr>
      <w:tr>
        <w:tc>
          <w:tcPr>
            <w:tcW w:type="dxa" w:w="1984"/>
            <w:vAlign w:val="center"/>
          </w:tcPr>
          <w:p>
            <w:pPr>
              <w:spacing w:line="240" w:lineRule="auto" w:after="0" w:before="0"/>
            </w:pPr>
            <w:r/>
            <w:r>
              <w:rPr>
                <w:rFonts w:ascii="Arial" w:hAnsi="Arial" w:eastAsia="Arial"/>
                <w:b w:val="0"/>
                <w:sz w:val="22"/>
              </w:rPr>
              <w:t>5. Estrutura da prova</w:t>
            </w:r>
          </w:p>
        </w:tc>
        <w:tc>
          <w:tcPr>
            <w:tcW w:type="dxa" w:w="4819"/>
            <w:vAlign w:val="center"/>
          </w:tcPr>
          <w:p>
            <w:pPr>
              <w:spacing w:line="240" w:lineRule="auto" w:after="0" w:before="0"/>
            </w:pPr>
            <w:r/>
            <w:r>
              <w:rPr>
                <w:rFonts w:ascii="Arial" w:hAnsi="Arial" w:eastAsia="Arial"/>
                <w:b w:val="0"/>
                <w:sz w:val="22"/>
              </w:rPr>
              <w:t>Peça prático-profissional de até 40 linhas e 3 questões discursivas de até 20 linhas.</w:t>
            </w:r>
          </w:p>
        </w:tc>
        <w:tc>
          <w:tcPr>
            <w:tcW w:type="dxa" w:w="2835"/>
            <w:vAlign w:val="center"/>
          </w:tcPr>
          <w:p>
            <w:pPr>
              <w:spacing w:line="240" w:lineRule="auto" w:after="0" w:before="0"/>
            </w:pPr>
            <w:r/>
            <w:r>
              <w:rPr>
                <w:rFonts w:ascii="Arial" w:hAnsi="Arial" w:eastAsia="Arial"/>
                <w:b w:val="0"/>
                <w:sz w:val="22"/>
              </w:rPr>
              <w:t>Peça vale 4,0; cada questão vale 2,0.</w:t>
            </w:r>
          </w:p>
        </w:tc>
      </w:tr>
      <w:tr>
        <w:tc>
          <w:tcPr>
            <w:tcW w:type="dxa" w:w="1984"/>
            <w:vAlign w:val="center"/>
          </w:tcPr>
          <w:p>
            <w:pPr>
              <w:spacing w:line="240" w:lineRule="auto" w:after="0" w:before="0"/>
            </w:pPr>
            <w:r/>
            <w:r>
              <w:rPr>
                <w:rFonts w:ascii="Arial" w:hAnsi="Arial" w:eastAsia="Arial"/>
                <w:b w:val="0"/>
                <w:sz w:val="22"/>
              </w:rPr>
              <w:t>6. Total da etapa</w:t>
            </w:r>
          </w:p>
        </w:tc>
        <w:tc>
          <w:tcPr>
            <w:tcW w:type="dxa" w:w="4819"/>
            <w:vAlign w:val="center"/>
          </w:tcPr>
          <w:p>
            <w:pPr>
              <w:spacing w:line="240" w:lineRule="auto" w:after="0" w:before="0"/>
            </w:pPr>
            <w:r/>
            <w:r>
              <w:rPr>
                <w:rFonts w:ascii="Arial" w:hAnsi="Arial" w:eastAsia="Arial"/>
                <w:b w:val="0"/>
                <w:sz w:val="22"/>
              </w:rPr>
              <w:t>4 peças e 12 questões discursivas, com 40 pontos brutos na soma das provas.</w:t>
            </w:r>
          </w:p>
        </w:tc>
        <w:tc>
          <w:tcPr>
            <w:tcW w:type="dxa" w:w="2835"/>
            <w:vAlign w:val="center"/>
          </w:tcPr>
          <w:p>
            <w:pPr>
              <w:spacing w:line="240" w:lineRule="auto" w:after="0" w:before="0"/>
            </w:pPr>
            <w:r/>
            <w:r>
              <w:rPr>
                <w:rFonts w:ascii="Arial" w:hAnsi="Arial" w:eastAsia="Arial"/>
                <w:b w:val="0"/>
                <w:sz w:val="22"/>
              </w:rPr>
              <w:t>Cada prova totaliza 10,0 pontos.</w:t>
            </w:r>
          </w:p>
        </w:tc>
      </w:tr>
      <w:tr>
        <w:tc>
          <w:tcPr>
            <w:tcW w:type="dxa" w:w="1984"/>
            <w:vAlign w:val="center"/>
          </w:tcPr>
          <w:p>
            <w:pPr>
              <w:spacing w:line="240" w:lineRule="auto" w:after="0" w:before="0"/>
            </w:pPr>
            <w:r/>
            <w:r>
              <w:rPr>
                <w:rFonts w:ascii="Arial" w:hAnsi="Arial" w:eastAsia="Arial"/>
                <w:b w:val="0"/>
                <w:sz w:val="22"/>
              </w:rPr>
              <w:t>7. Cálculo da nota</w:t>
            </w:r>
          </w:p>
        </w:tc>
        <w:tc>
          <w:tcPr>
            <w:tcW w:type="dxa" w:w="4819"/>
            <w:vAlign w:val="center"/>
          </w:tcPr>
          <w:p>
            <w:pPr>
              <w:spacing w:line="240" w:lineRule="auto" w:after="0" w:before="0"/>
            </w:pPr>
            <w:r/>
            <w:r>
              <w:rPr>
                <w:rFonts w:ascii="Arial" w:hAnsi="Arial" w:eastAsia="Arial"/>
                <w:b w:val="0"/>
                <w:sz w:val="22"/>
              </w:rPr>
              <w:t>Média aritmética simples de P1, P2, P3 e P4.</w:t>
            </w:r>
          </w:p>
        </w:tc>
        <w:tc>
          <w:tcPr>
            <w:tcW w:type="dxa" w:w="2835"/>
            <w:vAlign w:val="center"/>
          </w:tcPr>
          <w:p>
            <w:pPr>
              <w:spacing w:line="240" w:lineRule="auto" w:after="0" w:before="0"/>
            </w:pPr>
            <w:r/>
            <w:r>
              <w:rPr>
                <w:rFonts w:ascii="Arial" w:hAnsi="Arial" w:eastAsia="Arial"/>
                <w:b w:val="0"/>
                <w:sz w:val="22"/>
              </w:rPr>
              <w:t>Sem arredondamento; desprezo das frações inferiores ao centésimo.</w:t>
            </w:r>
          </w:p>
        </w:tc>
      </w:tr>
      <w:tr>
        <w:tc>
          <w:tcPr>
            <w:tcW w:type="dxa" w:w="1984"/>
            <w:vAlign w:val="center"/>
          </w:tcPr>
          <w:p>
            <w:pPr>
              <w:spacing w:line="240" w:lineRule="auto" w:after="0" w:before="0"/>
            </w:pPr>
            <w:r/>
            <w:r>
              <w:rPr>
                <w:rFonts w:ascii="Arial" w:hAnsi="Arial" w:eastAsia="Arial"/>
                <w:b w:val="0"/>
                <w:sz w:val="22"/>
              </w:rPr>
              <w:t>8. Aprovação</w:t>
            </w:r>
          </w:p>
        </w:tc>
        <w:tc>
          <w:tcPr>
            <w:tcW w:type="dxa" w:w="4819"/>
            <w:vAlign w:val="center"/>
          </w:tcPr>
          <w:p>
            <w:pPr>
              <w:spacing w:line="240" w:lineRule="auto" w:after="0" w:before="0"/>
            </w:pPr>
            <w:r/>
            <w:r>
              <w:rPr>
                <w:rFonts w:ascii="Arial" w:hAnsi="Arial" w:eastAsia="Arial"/>
                <w:b w:val="0"/>
                <w:sz w:val="22"/>
              </w:rPr>
              <w:t>Média geral mínima de 6,0 e nota mínima de 5,0 em cada prova.</w:t>
            </w:r>
          </w:p>
        </w:tc>
        <w:tc>
          <w:tcPr>
            <w:tcW w:type="dxa" w:w="2835"/>
            <w:vAlign w:val="center"/>
          </w:tcPr>
          <w:p>
            <w:pPr>
              <w:spacing w:line="240" w:lineRule="auto" w:after="0" w:before="0"/>
            </w:pPr>
            <w:r/>
            <w:r>
              <w:rPr>
                <w:rFonts w:ascii="Arial" w:hAnsi="Arial" w:eastAsia="Arial"/>
                <w:b w:val="0"/>
                <w:sz w:val="22"/>
              </w:rPr>
              <w:t>Os dois requisitos são cumulativos.</w:t>
            </w:r>
          </w:p>
        </w:tc>
      </w:tr>
      <w:tr>
        <w:tc>
          <w:tcPr>
            <w:tcW w:type="dxa" w:w="1984"/>
            <w:vAlign w:val="center"/>
          </w:tcPr>
          <w:p>
            <w:pPr>
              <w:spacing w:line="240" w:lineRule="auto" w:after="0" w:before="0"/>
            </w:pPr>
            <w:r/>
            <w:r>
              <w:rPr>
                <w:rFonts w:ascii="Arial" w:hAnsi="Arial" w:eastAsia="Arial"/>
                <w:b w:val="0"/>
                <w:sz w:val="22"/>
              </w:rPr>
              <w:t>9. Correção</w:t>
            </w:r>
          </w:p>
        </w:tc>
        <w:tc>
          <w:tcPr>
            <w:tcW w:type="dxa" w:w="4819"/>
            <w:vAlign w:val="center"/>
          </w:tcPr>
          <w:p>
            <w:pPr>
              <w:spacing w:line="240" w:lineRule="auto" w:after="0" w:before="0"/>
            </w:pPr>
            <w:r/>
            <w:r>
              <w:rPr>
                <w:rFonts w:ascii="Arial" w:hAnsi="Arial" w:eastAsia="Arial"/>
                <w:b w:val="0"/>
                <w:sz w:val="22"/>
              </w:rPr>
              <w:t>Acerto, conhecimento do tema, fluência e coerência da exposição.</w:t>
            </w:r>
          </w:p>
        </w:tc>
        <w:tc>
          <w:tcPr>
            <w:tcW w:type="dxa" w:w="2835"/>
            <w:vAlign w:val="center"/>
          </w:tcPr>
          <w:p>
            <w:pPr>
              <w:spacing w:line="240" w:lineRule="auto" w:after="0" w:before="0"/>
            </w:pPr>
            <w:r/>
            <w:r>
              <w:rPr>
                <w:rFonts w:ascii="Arial" w:hAnsi="Arial" w:eastAsia="Arial"/>
                <w:b w:val="0"/>
                <w:sz w:val="22"/>
              </w:rPr>
              <w:t>Mera transcrição legal não basta; divagações prejudicam a nota.</w:t>
            </w:r>
          </w:p>
        </w:tc>
      </w:tr>
      <w:tr>
        <w:tc>
          <w:tcPr>
            <w:tcW w:type="dxa" w:w="1984"/>
            <w:vAlign w:val="center"/>
          </w:tcPr>
          <w:p>
            <w:pPr>
              <w:spacing w:line="240" w:lineRule="auto" w:after="0" w:before="0"/>
            </w:pPr>
            <w:r/>
            <w:r>
              <w:rPr>
                <w:rFonts w:ascii="Arial" w:hAnsi="Arial" w:eastAsia="Arial"/>
                <w:b w:val="0"/>
                <w:sz w:val="22"/>
              </w:rPr>
              <w:t>10. Nota zero</w:t>
            </w:r>
          </w:p>
        </w:tc>
        <w:tc>
          <w:tcPr>
            <w:tcW w:type="dxa" w:w="4819"/>
            <w:vAlign w:val="center"/>
          </w:tcPr>
          <w:p>
            <w:pPr>
              <w:spacing w:line="240" w:lineRule="auto" w:after="0" w:before="0"/>
            </w:pPr>
            <w:r/>
            <w:r>
              <w:rPr>
                <w:rFonts w:ascii="Arial" w:hAnsi="Arial" w:eastAsia="Arial"/>
                <w:b w:val="0"/>
                <w:sz w:val="22"/>
              </w:rPr>
              <w:t>Texto em branco, ilegível, fora da forma exigida, com identificação ou fuga ao tema.</w:t>
            </w:r>
          </w:p>
        </w:tc>
        <w:tc>
          <w:tcPr>
            <w:tcW w:type="dxa" w:w="2835"/>
            <w:vAlign w:val="center"/>
          </w:tcPr>
          <w:p>
            <w:pPr>
              <w:spacing w:line="240" w:lineRule="auto" w:after="0" w:before="0"/>
            </w:pPr>
            <w:r/>
            <w:r>
              <w:rPr>
                <w:rFonts w:ascii="Arial" w:hAnsi="Arial" w:eastAsia="Arial"/>
                <w:b w:val="0"/>
                <w:sz w:val="22"/>
              </w:rPr>
              <w:t>Erro de preenchimento e ausência de texto também podem gerar zero.</w:t>
            </w:r>
          </w:p>
        </w:tc>
      </w:tr>
      <w:tr>
        <w:tc>
          <w:tcPr>
            <w:tcW w:type="dxa" w:w="1984"/>
            <w:vAlign w:val="center"/>
          </w:tcPr>
          <w:p>
            <w:pPr>
              <w:spacing w:line="240" w:lineRule="auto" w:after="0" w:before="0"/>
            </w:pPr>
            <w:r/>
            <w:r>
              <w:rPr>
                <w:rFonts w:ascii="Arial" w:hAnsi="Arial" w:eastAsia="Arial"/>
                <w:b w:val="0"/>
                <w:sz w:val="22"/>
              </w:rPr>
              <w:t>11. Folha definitiva</w:t>
            </w:r>
          </w:p>
        </w:tc>
        <w:tc>
          <w:tcPr>
            <w:tcW w:type="dxa" w:w="4819"/>
            <w:vAlign w:val="center"/>
          </w:tcPr>
          <w:p>
            <w:pPr>
              <w:spacing w:line="240" w:lineRule="auto" w:after="0" w:before="0"/>
            </w:pPr>
            <w:r/>
            <w:r>
              <w:rPr>
                <w:rFonts w:ascii="Arial" w:hAnsi="Arial" w:eastAsia="Arial"/>
                <w:b w:val="0"/>
                <w:sz w:val="22"/>
              </w:rPr>
              <w:t>Só vale o texto transcrito na folha definitiva.</w:t>
            </w:r>
          </w:p>
        </w:tc>
        <w:tc>
          <w:tcPr>
            <w:tcW w:type="dxa" w:w="2835"/>
            <w:vAlign w:val="center"/>
          </w:tcPr>
          <w:p>
            <w:pPr>
              <w:spacing w:line="240" w:lineRule="auto" w:after="0" w:before="0"/>
            </w:pPr>
            <w:r/>
            <w:r>
              <w:rPr>
                <w:rFonts w:ascii="Arial" w:hAnsi="Arial" w:eastAsia="Arial"/>
                <w:b w:val="0"/>
                <w:sz w:val="22"/>
              </w:rPr>
              <w:t>Não pode haver assinatura, rubrica ou marca identificadora.</w:t>
            </w:r>
          </w:p>
        </w:tc>
      </w:tr>
      <w:tr>
        <w:tc>
          <w:tcPr>
            <w:tcW w:type="dxa" w:w="1984"/>
            <w:vAlign w:val="center"/>
          </w:tcPr>
          <w:p>
            <w:pPr>
              <w:spacing w:line="240" w:lineRule="auto" w:after="0" w:before="0"/>
            </w:pPr>
            <w:r/>
            <w:r>
              <w:rPr>
                <w:rFonts w:ascii="Arial" w:hAnsi="Arial" w:eastAsia="Arial"/>
                <w:b w:val="0"/>
                <w:sz w:val="22"/>
              </w:rPr>
              <w:t>12. Material permitido</w:t>
            </w:r>
          </w:p>
        </w:tc>
        <w:tc>
          <w:tcPr>
            <w:tcW w:type="dxa" w:w="4819"/>
            <w:vAlign w:val="center"/>
          </w:tcPr>
          <w:p>
            <w:pPr>
              <w:spacing w:line="240" w:lineRule="auto" w:after="0" w:before="0"/>
            </w:pPr>
            <w:r/>
            <w:r>
              <w:rPr>
                <w:rFonts w:ascii="Arial" w:hAnsi="Arial" w:eastAsia="Arial"/>
                <w:b w:val="0"/>
                <w:sz w:val="22"/>
              </w:rPr>
              <w:t>Legislação não comentada e materiais normativos indicados no edital.</w:t>
            </w:r>
          </w:p>
        </w:tc>
        <w:tc>
          <w:tcPr>
            <w:tcW w:type="dxa" w:w="2835"/>
            <w:vAlign w:val="center"/>
          </w:tcPr>
          <w:p>
            <w:pPr>
              <w:spacing w:line="240" w:lineRule="auto" w:after="0" w:before="0"/>
            </w:pPr>
            <w:r/>
            <w:r>
              <w:rPr>
                <w:rFonts w:ascii="Arial" w:hAnsi="Arial" w:eastAsia="Arial"/>
                <w:b w:val="0"/>
                <w:sz w:val="22"/>
              </w:rPr>
              <w:t>Admite marcações e remissões simples, sem conteúdo doutrinário ou jurisprudencial.</w:t>
            </w:r>
          </w:p>
        </w:tc>
      </w:tr>
      <w:tr>
        <w:tc>
          <w:tcPr>
            <w:tcW w:type="dxa" w:w="1984"/>
            <w:vAlign w:val="center"/>
          </w:tcPr>
          <w:p>
            <w:pPr>
              <w:spacing w:line="240" w:lineRule="auto" w:after="0" w:before="0"/>
            </w:pPr>
            <w:r/>
            <w:r>
              <w:rPr>
                <w:rFonts w:ascii="Arial" w:hAnsi="Arial" w:eastAsia="Arial"/>
                <w:b w:val="0"/>
                <w:sz w:val="22"/>
              </w:rPr>
              <w:t>13. Material proibido</w:t>
            </w:r>
          </w:p>
        </w:tc>
        <w:tc>
          <w:tcPr>
            <w:tcW w:type="dxa" w:w="4819"/>
            <w:vAlign w:val="center"/>
          </w:tcPr>
          <w:p>
            <w:pPr>
              <w:spacing w:line="240" w:lineRule="auto" w:after="0" w:before="0"/>
            </w:pPr>
            <w:r/>
            <w:r>
              <w:rPr>
                <w:rFonts w:ascii="Arial" w:hAnsi="Arial" w:eastAsia="Arial"/>
                <w:b w:val="0"/>
                <w:sz w:val="22"/>
              </w:rPr>
              <w:t>Códigos comentados, anotações, súmulas, doutrina, modelos e eletrônicos.</w:t>
            </w:r>
          </w:p>
        </w:tc>
        <w:tc>
          <w:tcPr>
            <w:tcW w:type="dxa" w:w="2835"/>
            <w:vAlign w:val="center"/>
          </w:tcPr>
          <w:p>
            <w:pPr>
              <w:spacing w:line="240" w:lineRule="auto" w:after="0" w:before="0"/>
            </w:pPr>
            <w:r/>
            <w:r>
              <w:rPr>
                <w:rFonts w:ascii="Arial" w:hAnsi="Arial" w:eastAsia="Arial"/>
                <w:b w:val="0"/>
                <w:sz w:val="22"/>
              </w:rPr>
              <w:t>Há fiscalização prévia e possível retenção do material.</w:t>
            </w:r>
          </w:p>
        </w:tc>
      </w:tr>
      <w:tr>
        <w:tc>
          <w:tcPr>
            <w:tcW w:type="dxa" w:w="1984"/>
            <w:vAlign w:val="center"/>
          </w:tcPr>
          <w:p>
            <w:pPr>
              <w:spacing w:line="240" w:lineRule="auto" w:after="0" w:before="0"/>
            </w:pPr>
            <w:r/>
            <w:r>
              <w:rPr>
                <w:rFonts w:ascii="Arial" w:hAnsi="Arial" w:eastAsia="Arial"/>
                <w:b w:val="0"/>
                <w:sz w:val="22"/>
              </w:rPr>
              <w:t>14. Aplicação e permanência</w:t>
            </w:r>
          </w:p>
        </w:tc>
        <w:tc>
          <w:tcPr>
            <w:tcW w:type="dxa" w:w="4819"/>
            <w:vAlign w:val="center"/>
          </w:tcPr>
          <w:p>
            <w:pPr>
              <w:spacing w:line="240" w:lineRule="auto" w:after="0" w:before="0"/>
            </w:pPr>
            <w:r/>
            <w:r>
              <w:rPr>
                <w:rFonts w:ascii="Arial" w:hAnsi="Arial" w:eastAsia="Arial"/>
                <w:b w:val="0"/>
                <w:sz w:val="22"/>
              </w:rPr>
              <w:t>Portões das 11h30 às 12h30 e permanência mínima de 3 horas.</w:t>
            </w:r>
          </w:p>
        </w:tc>
        <w:tc>
          <w:tcPr>
            <w:tcW w:type="dxa" w:w="2835"/>
            <w:vAlign w:val="center"/>
          </w:tcPr>
          <w:p>
            <w:pPr>
              <w:spacing w:line="240" w:lineRule="auto" w:after="0" w:before="0"/>
            </w:pPr>
            <w:r/>
            <w:r>
              <w:rPr>
                <w:rFonts w:ascii="Arial" w:hAnsi="Arial" w:eastAsia="Arial"/>
                <w:b w:val="0"/>
                <w:sz w:val="22"/>
              </w:rPr>
              <w:t>Caderno só sai ao final ou nos 30 minutos finais; últimos 3 permanecem juntos.</w:t>
            </w:r>
          </w:p>
        </w:tc>
      </w:tr>
      <w:tr>
        <w:tc>
          <w:tcPr>
            <w:tcW w:type="dxa" w:w="1984"/>
            <w:vAlign w:val="center"/>
          </w:tcPr>
          <w:p>
            <w:pPr>
              <w:spacing w:line="240" w:lineRule="auto" w:after="0" w:before="0"/>
            </w:pPr>
            <w:r/>
            <w:r>
              <w:rPr>
                <w:rFonts w:ascii="Arial" w:hAnsi="Arial" w:eastAsia="Arial"/>
                <w:b w:val="0"/>
                <w:sz w:val="22"/>
              </w:rPr>
              <w:t>15. Condutas proibidas</w:t>
            </w:r>
          </w:p>
        </w:tc>
        <w:tc>
          <w:tcPr>
            <w:tcW w:type="dxa" w:w="4819"/>
            <w:vAlign w:val="center"/>
          </w:tcPr>
          <w:p>
            <w:pPr>
              <w:spacing w:line="240" w:lineRule="auto" w:after="0" w:before="0"/>
            </w:pPr>
            <w:r/>
            <w:r>
              <w:rPr>
                <w:rFonts w:ascii="Arial" w:hAnsi="Arial" w:eastAsia="Arial"/>
                <w:b w:val="0"/>
                <w:sz w:val="22"/>
              </w:rPr>
              <w:t>Vedação a eletrônicos, relógios, lápis, borracha e outros objetos.</w:t>
            </w:r>
          </w:p>
        </w:tc>
        <w:tc>
          <w:tcPr>
            <w:tcW w:type="dxa" w:w="2835"/>
            <w:vAlign w:val="center"/>
          </w:tcPr>
          <w:p>
            <w:pPr>
              <w:spacing w:line="240" w:lineRule="auto" w:after="0" w:before="0"/>
            </w:pPr>
            <w:r/>
            <w:r>
              <w:rPr>
                <w:rFonts w:ascii="Arial" w:hAnsi="Arial" w:eastAsia="Arial"/>
                <w:b w:val="0"/>
                <w:sz w:val="22"/>
              </w:rPr>
              <w:t>Uso de envelope lacrado e detecção de metais.</w:t>
            </w:r>
          </w:p>
        </w:tc>
      </w:tr>
      <w:tr>
        <w:tc>
          <w:tcPr>
            <w:tcW w:type="dxa" w:w="1984"/>
            <w:vAlign w:val="center"/>
          </w:tcPr>
          <w:p>
            <w:pPr>
              <w:spacing w:line="240" w:lineRule="auto" w:after="0" w:before="0"/>
            </w:pPr>
            <w:r/>
            <w:r>
              <w:rPr>
                <w:rFonts w:ascii="Arial" w:hAnsi="Arial" w:eastAsia="Arial"/>
                <w:b w:val="0"/>
                <w:sz w:val="22"/>
              </w:rPr>
              <w:t>16. Alimentação e lactantes</w:t>
            </w:r>
          </w:p>
        </w:tc>
        <w:tc>
          <w:tcPr>
            <w:tcW w:type="dxa" w:w="4819"/>
            <w:vAlign w:val="center"/>
          </w:tcPr>
          <w:p>
            <w:pPr>
              <w:spacing w:line="240" w:lineRule="auto" w:after="0" w:before="0"/>
            </w:pPr>
            <w:r/>
            <w:r>
              <w:rPr>
                <w:rFonts w:ascii="Arial" w:hAnsi="Arial" w:eastAsia="Arial"/>
                <w:b w:val="0"/>
                <w:sz w:val="22"/>
              </w:rPr>
              <w:t>Recipientes transparentes e atendimento especial à lactante com compensação de tempo.</w:t>
            </w:r>
          </w:p>
        </w:tc>
        <w:tc>
          <w:tcPr>
            <w:tcW w:type="dxa" w:w="2835"/>
            <w:vAlign w:val="center"/>
          </w:tcPr>
          <w:p>
            <w:pPr>
              <w:spacing w:line="240" w:lineRule="auto" w:after="0" w:before="0"/>
            </w:pPr>
            <w:r/>
            <w:r>
              <w:rPr>
                <w:rFonts w:ascii="Arial" w:hAnsi="Arial" w:eastAsia="Arial"/>
                <w:b w:val="0"/>
                <w:sz w:val="22"/>
              </w:rPr>
              <w:t>Necessidade de solicitação prévia e acompanhante maior de 18 anos.</w:t>
            </w:r>
          </w:p>
        </w:tc>
      </w:tr>
      <w:tr>
        <w:tc>
          <w:tcPr>
            <w:tcW w:type="dxa" w:w="1984"/>
            <w:vAlign w:val="center"/>
          </w:tcPr>
          <w:p>
            <w:pPr>
              <w:spacing w:line="240" w:lineRule="auto" w:after="0" w:before="0"/>
            </w:pPr>
            <w:r/>
            <w:r>
              <w:rPr>
                <w:rFonts w:ascii="Arial" w:hAnsi="Arial" w:eastAsia="Arial"/>
                <w:b w:val="0"/>
                <w:sz w:val="22"/>
              </w:rPr>
              <w:t>17. Recursos e nota final</w:t>
            </w:r>
          </w:p>
        </w:tc>
        <w:tc>
          <w:tcPr>
            <w:tcW w:type="dxa" w:w="4819"/>
            <w:vAlign w:val="center"/>
          </w:tcPr>
          <w:p>
            <w:pPr>
              <w:spacing w:line="240" w:lineRule="auto" w:after="0" w:before="0"/>
            </w:pPr>
            <w:r/>
            <w:r>
              <w:rPr>
                <w:rFonts w:ascii="Arial" w:hAnsi="Arial" w:eastAsia="Arial"/>
                <w:b w:val="0"/>
                <w:sz w:val="22"/>
              </w:rPr>
              <w:t>Recurso em 2 dias úteis; fórmula NF = (PD + PO) ÷ 2 + AT ÷ 20.</w:t>
            </w:r>
          </w:p>
        </w:tc>
        <w:tc>
          <w:tcPr>
            <w:tcW w:type="dxa" w:w="2835"/>
            <w:vAlign w:val="center"/>
          </w:tcPr>
          <w:p>
            <w:pPr>
              <w:spacing w:line="240" w:lineRule="auto" w:after="0" w:before="0"/>
            </w:pPr>
            <w:r/>
            <w:r>
              <w:rPr>
                <w:rFonts w:ascii="Arial" w:hAnsi="Arial" w:eastAsia="Arial"/>
                <w:b w:val="0"/>
                <w:sz w:val="22"/>
              </w:rPr>
              <w:t>Etapa discursiva possui peso central na classificação.</w:t>
            </w:r>
          </w:p>
        </w:tc>
      </w:tr>
    </w:tbl>
    <w:p>
      <w:pPr>
        <w:spacing w:line="240" w:lineRule="auto" w:after="0" w:before="0"/>
      </w:pPr>
    </w:p>
    <w:p>
      <w:pPr>
        <w:spacing w:line="240" w:lineRule="auto" w:after="0" w:before="0"/>
      </w:pPr>
      <w:r>
        <w:rPr>
          <w:rFonts w:ascii="Arial" w:hAnsi="Arial" w:eastAsia="Arial"/>
          <w:b/>
          <w:sz w:val="22"/>
        </w:rPr>
        <w:t>4. FONTE</w:t>
      </w:r>
    </w:p>
    <w:p>
      <w:pPr>
        <w:spacing w:line="240" w:lineRule="auto" w:after="0" w:before="0"/>
      </w:pPr>
      <w:r>
        <w:rPr>
          <w:rFonts w:ascii="Arial" w:hAnsi="Arial" w:eastAsia="Arial"/>
          <w:b w:val="0"/>
          <w:sz w:val="22"/>
        </w:rPr>
        <w:t>Edital nº 01/2026 do MPMT, itens 2.1, 9.2, 10.1 a 10.19, 11.1 a 11.27, 17.1 e Anexo I.</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